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Autospacing="0" w:afterAutospacing="0" w:line="576" w:lineRule="exact"/>
        <w:jc w:val="center"/>
        <w:rPr>
          <w:rFonts w:ascii="Times New Roman" w:hAnsi="Times New Roman" w:eastAsia="方正小标宋简体"/>
          <w:sz w:val="44"/>
          <w:szCs w:val="44"/>
          <w:shd w:val="clear" w:color="auto" w:fill="FFFFFF"/>
        </w:rPr>
      </w:pPr>
    </w:p>
    <w:p>
      <w:pPr>
        <w:pStyle w:val="7"/>
        <w:shd w:val="clear" w:color="auto" w:fill="FFFFFF"/>
        <w:spacing w:beforeAutospacing="0" w:afterAutospacing="0" w:line="576" w:lineRule="exact"/>
        <w:jc w:val="center"/>
        <w:rPr>
          <w:rFonts w:ascii="Times New Roman" w:hAnsi="Times New Roman" w:eastAsia="楷体_GB2312"/>
          <w:sz w:val="32"/>
          <w:szCs w:val="32"/>
          <w:shd w:val="clear" w:color="auto" w:fill="FFFFFF"/>
        </w:rPr>
      </w:pPr>
      <w:r>
        <w:rPr>
          <w:rFonts w:ascii="Times New Roman" w:hAnsi="Times New Roman" w:eastAsia="方正小标宋简体"/>
          <w:sz w:val="44"/>
          <w:szCs w:val="44"/>
          <w:shd w:val="clear" w:color="auto" w:fill="FFFFFF"/>
        </w:rPr>
        <w:t>江山市关于扶持个体工商户纾困发展的</w:t>
      </w:r>
      <w:r>
        <w:rPr>
          <w:rFonts w:ascii="Times New Roman" w:hAnsi="Times New Roman" w:eastAsia="方正小标宋简体"/>
          <w:sz w:val="44"/>
          <w:szCs w:val="44"/>
          <w:shd w:val="clear" w:color="auto" w:fill="FFFFFF"/>
        </w:rPr>
        <w:br w:type="textWrapping"/>
      </w:r>
      <w:r>
        <w:rPr>
          <w:rFonts w:ascii="Times New Roman" w:hAnsi="Times New Roman" w:eastAsia="方正小标宋简体"/>
          <w:sz w:val="44"/>
          <w:szCs w:val="44"/>
          <w:shd w:val="clear" w:color="auto" w:fill="FFFFFF"/>
        </w:rPr>
        <w:t>若干意见</w:t>
      </w:r>
      <w:r>
        <w:rPr>
          <w:rFonts w:ascii="Times New Roman" w:hAnsi="Times New Roman" w:eastAsia="方正小标宋简体"/>
          <w:sz w:val="44"/>
          <w:szCs w:val="44"/>
          <w:shd w:val="clear" w:color="auto" w:fill="FFFFFF"/>
        </w:rPr>
        <w:br w:type="textWrapping"/>
      </w:r>
      <w:r>
        <w:rPr>
          <w:rFonts w:ascii="Times New Roman" w:hAnsi="Times New Roman" w:eastAsia="楷体_GB2312"/>
          <w:sz w:val="32"/>
          <w:szCs w:val="32"/>
          <w:shd w:val="clear" w:color="auto" w:fill="FFFFFF"/>
        </w:rPr>
        <w:t>（征求意见稿）</w:t>
      </w:r>
    </w:p>
    <w:p>
      <w:pPr>
        <w:pStyle w:val="7"/>
        <w:shd w:val="clear" w:color="auto" w:fill="FFFFFF"/>
        <w:spacing w:beforeAutospacing="0" w:afterAutospacing="0" w:line="576" w:lineRule="exact"/>
        <w:jc w:val="center"/>
        <w:rPr>
          <w:rFonts w:ascii="Times New Roman" w:hAnsi="Times New Roman" w:eastAsia="楷体_GB2312"/>
          <w:sz w:val="32"/>
          <w:szCs w:val="32"/>
          <w:shd w:val="clear" w:color="auto" w:fill="FFFFFF"/>
        </w:rPr>
      </w:pPr>
    </w:p>
    <w:p>
      <w:pPr>
        <w:pStyle w:val="7"/>
        <w:shd w:val="clear" w:color="auto" w:fill="FFFFFF"/>
        <w:spacing w:beforeAutospacing="0" w:afterAutospacing="0" w:line="576" w:lineRule="exact"/>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各乡镇（街道），市机关各部门：</w:t>
      </w:r>
    </w:p>
    <w:p>
      <w:pPr>
        <w:spacing w:line="576"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贯彻落实党中央、国务院有关决策部署和省委省政府、衢州市委市政府相关工作要求，根据《浙江省人民政府办公厅关于扶持个体工商户纾困发展的若干意见》（浙政办发〔2022〕24号）文件精神，更大力度帮助我市个体工商户应对疫情影响、恢复生产经营、稳定扩大就业，进一步助力个体工商户纾困解难，结合我市实际，特制定以下工作措施。</w:t>
      </w:r>
    </w:p>
    <w:p>
      <w:pPr>
        <w:pStyle w:val="7"/>
        <w:shd w:val="clear" w:color="auto" w:fill="FFFFFF"/>
        <w:spacing w:beforeAutospacing="0" w:afterAutospacing="0" w:line="576" w:lineRule="exact"/>
        <w:ind w:firstLine="640" w:firstLineChars="200"/>
        <w:jc w:val="both"/>
        <w:rPr>
          <w:rFonts w:ascii="Times New Roman" w:hAnsi="Times New Roman" w:eastAsia="黑体"/>
          <w:b/>
          <w:sz w:val="32"/>
          <w:szCs w:val="32"/>
        </w:rPr>
      </w:pPr>
      <w:r>
        <w:rPr>
          <w:rStyle w:val="10"/>
          <w:rFonts w:ascii="Times New Roman" w:hAnsi="Times New Roman" w:eastAsia="黑体"/>
          <w:b w:val="0"/>
          <w:sz w:val="32"/>
          <w:szCs w:val="32"/>
          <w:shd w:val="clear" w:color="auto" w:fill="FFFFFF"/>
        </w:rPr>
        <w:t>一、降低个体工商户经营成本</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hint="eastAsia" w:ascii="楷体_GB2312" w:hAnsi="Times New Roman" w:eastAsia="楷体_GB2312"/>
          <w:sz w:val="32"/>
          <w:szCs w:val="32"/>
          <w:shd w:val="clear" w:color="auto" w:fill="FFFFFF"/>
        </w:rPr>
        <w:t>（一）对月销售额15万元以下的小规模纳税人免征增值税。</w:t>
      </w:r>
      <w:r>
        <w:rPr>
          <w:rFonts w:ascii="Times New Roman" w:hAnsi="Times New Roman" w:eastAsia="仿宋_GB2312"/>
          <w:sz w:val="32"/>
          <w:szCs w:val="32"/>
          <w:shd w:val="clear" w:color="auto" w:fill="FFFFFF"/>
        </w:rPr>
        <w:t>小规模纳税人发生增值税应税销售行为，月度合计销售额未超过15万元（以1个季度为1个纳税期的，季度销售额未超过45万元）的，免征增值税。执行时间至2022年12月31日。符合条件的个体工商户可以享受。（责任单位：市税务局）</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（二）对小规模纳税人阶段性免征增值税。</w:t>
      </w:r>
      <w:r>
        <w:rPr>
          <w:rFonts w:ascii="Times New Roman" w:hAnsi="Times New Roman" w:eastAsia="仿宋_GB2312"/>
          <w:sz w:val="32"/>
          <w:szCs w:val="32"/>
          <w:shd w:val="clear" w:color="auto" w:fill="FFFFFF"/>
        </w:rPr>
        <w:t>增值税小规模纳税人适用3%征收率的应税销售收入，免征增值税；适用3%预征率的预缴增值税项目，暂停预缴增值税。执行时间自2022年4月1日至2022年12月31日。符合条件的个体工商户可以享受。（责任单位：市税务局）</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（三）扩大“六税两费”适用范围。</w:t>
      </w:r>
      <w:r>
        <w:rPr>
          <w:rFonts w:ascii="Times New Roman" w:hAnsi="Times New Roman" w:eastAsia="仿宋_GB2312"/>
          <w:sz w:val="32"/>
          <w:szCs w:val="32"/>
          <w:shd w:val="clear" w:color="auto" w:fill="FFFFFF"/>
        </w:rPr>
        <w:t>对个体工商户按照50%幅度减征资源税、城市维护建设税、房产税、城镇土地使用税、印花税（不含证券交易印花税）、耕地占用税和教育费附加、地方教育附加。执行时间至2024年12月31日。（责任单位：市财政局、市税务局）</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（四）延续服务业增值税加计抵减政策。</w:t>
      </w:r>
      <w:r>
        <w:rPr>
          <w:rFonts w:ascii="Times New Roman" w:hAnsi="Times New Roman" w:eastAsia="仿宋_GB2312"/>
          <w:sz w:val="32"/>
          <w:szCs w:val="32"/>
          <w:shd w:val="clear" w:color="auto" w:fill="FFFFFF"/>
        </w:rPr>
        <w:t>对生产、生活性服务业个体工商户当期可抵扣进项税额继续分别按10%和15%加计抵减应纳税额。执行时间至2022年12月31日。（责任单位：市税务局）</w:t>
      </w:r>
    </w:p>
    <w:p>
      <w:pPr>
        <w:pStyle w:val="7"/>
        <w:shd w:val="clear" w:color="auto" w:fill="FFFFFF"/>
        <w:spacing w:beforeAutospacing="0" w:afterAutospacing="0" w:line="576" w:lineRule="exact"/>
        <w:ind w:firstLine="640" w:firstLineChars="200"/>
        <w:jc w:val="both"/>
        <w:rPr>
          <w:rFonts w:ascii="楷体_GB2312" w:hAnsi="Times New Roman" w:eastAsia="楷体_GB2312"/>
          <w:sz w:val="32"/>
          <w:szCs w:val="32"/>
          <w:shd w:val="clear" w:color="auto" w:fill="FFFFFF"/>
        </w:rPr>
      </w:pPr>
      <w:r>
        <w:rPr>
          <w:rFonts w:ascii="楷体_GB2312" w:hAnsi="Times New Roman" w:eastAsia="楷体_GB2312"/>
          <w:sz w:val="32"/>
          <w:szCs w:val="32"/>
          <w:shd w:val="clear" w:color="auto" w:fill="FFFFFF"/>
        </w:rPr>
        <w:t>（五）对增值税留抵税额实行大规模退税。</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1.加大小微企业增值税期末留抵退税政策力度，将先进制造业按月全额退还增值税增量留抵税额政策范围扩大至符合条件的小微企业（含个体工商户），并一次性退还小微企业存量留抵税额。（责任单位：市税务局）</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shd w:val="clear" w:color="auto" w:fill="FFFFFF"/>
        </w:rPr>
        <w:t>2.加大制造业、科学研究和技术服务业、电力热力燃气及水生产和供应业、软件和信息技术服务业、生态保护和环境治理业、交通运输业、仓储和邮政业（以下统称制造业等行业）增值税期末留抵退税政策力度，将先进制造业按月全额退还增值税增量留抵税额政策范围扩大至符合条件的制造业等行业企业（含个体工商户），并一次性退还制造业等行业企业存量留抵税额。自2022年4月1日起执行。（责任单位：市税务局）</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（六）制造业个体工商户缓缴部分税费。</w:t>
      </w:r>
      <w:r>
        <w:rPr>
          <w:rFonts w:ascii="Times New Roman" w:hAnsi="Times New Roman" w:eastAsia="仿宋_GB2312"/>
          <w:sz w:val="32"/>
          <w:szCs w:val="32"/>
          <w:shd w:val="clear" w:color="auto" w:fill="FFFFFF"/>
        </w:rPr>
        <w:t>2021年第四季度部分税费（包括企业所得税、个人所得税、国内增值税、国内消费税及附征的城市维护建设税、教育费附加、地方教育附加），缓缴期限继续延长6个月；2022年第一季度、第二季度部分税费，延缓的期限为6个月。制造业中型企业延缓缴纳比例为50%，制造业小微企业延缓缴纳比例为100%。本条所称的制造业中小微企业包含个人独资企业、合伙企业、个体工商户。自2022年2月28日起执行。（责任单位：市税务局）</w:t>
      </w:r>
    </w:p>
    <w:p>
      <w:pPr>
        <w:pStyle w:val="7"/>
        <w:shd w:val="clear" w:color="auto" w:fill="FFFFFF"/>
        <w:spacing w:beforeAutospacing="0" w:afterAutospacing="0" w:line="576" w:lineRule="exact"/>
        <w:ind w:firstLine="640" w:firstLineChars="200"/>
        <w:jc w:val="both"/>
        <w:rPr>
          <w:rFonts w:ascii="Times New Roman" w:hAnsi="Times New Roman" w:eastAsia="仿宋_GB2312"/>
          <w:color w:val="auto"/>
          <w:sz w:val="32"/>
          <w:szCs w:val="32"/>
        </w:rPr>
      </w:pPr>
      <w:r>
        <w:rPr>
          <w:rFonts w:ascii="楷体_GB2312" w:hAnsi="Times New Roman" w:eastAsia="楷体_GB2312"/>
          <w:sz w:val="32"/>
          <w:szCs w:val="32"/>
          <w:shd w:val="clear" w:color="auto" w:fill="FFFFFF"/>
        </w:rPr>
        <w:t>（七）房屋租金减免。</w:t>
      </w:r>
      <w:r>
        <w:rPr>
          <w:rFonts w:hint="eastAsia" w:ascii="Times New Roman" w:hAnsi="Times New Roman" w:eastAsia="仿宋_GB2312"/>
          <w:color w:val="auto"/>
          <w:sz w:val="32"/>
          <w:szCs w:val="32"/>
          <w:shd w:val="clear" w:color="auto" w:fill="FFFFFF"/>
        </w:rPr>
        <w:t>个体工商户及用于经营的个人承租国有房屋，2022年减免2月至4月共3个月租金；如遇减免期超过承租期的，按实际承租期减免租金。力争在今年上半年完成租金减免工作。</w:t>
      </w:r>
      <w:r>
        <w:rPr>
          <w:rFonts w:ascii="Times New Roman" w:hAnsi="Times New Roman" w:eastAsia="仿宋_GB2312"/>
          <w:color w:val="auto"/>
          <w:sz w:val="32"/>
          <w:szCs w:val="32"/>
          <w:shd w:val="clear" w:color="auto" w:fill="FFFFFF"/>
        </w:rPr>
        <w:t>疫情期间对非国有商品交易市场减免经营户租金的，给予租金补助，减免金额在 10 万元（含）以内的给予实际减免金额补助，超过 10 万元的部分按 50%补助，每家最高不超过 20 万元。</w:t>
      </w:r>
      <w:r>
        <w:rPr>
          <w:rFonts w:hint="eastAsia" w:ascii="Times New Roman" w:hAnsi="Times New Roman" w:eastAsia="仿宋_GB2312"/>
          <w:color w:val="auto"/>
          <w:sz w:val="32"/>
          <w:szCs w:val="32"/>
          <w:shd w:val="clear" w:color="auto" w:fill="FFFFFF"/>
          <w:lang w:eastAsia="zh-CN"/>
        </w:rPr>
        <w:t>执行时间至</w:t>
      </w:r>
      <w:r>
        <w:rPr>
          <w:rFonts w:hint="eastAsia" w:ascii="Times New Roman" w:hAnsi="Times New Roman" w:eastAsia="仿宋_GB2312"/>
          <w:color w:val="auto"/>
          <w:sz w:val="32"/>
          <w:szCs w:val="32"/>
          <w:shd w:val="clear" w:color="auto" w:fill="FFFFFF"/>
          <w:lang w:val="en-US" w:eastAsia="zh-CN"/>
        </w:rPr>
        <w:t>2022年9月30日。</w:t>
      </w:r>
      <w:r>
        <w:rPr>
          <w:rFonts w:ascii="Times New Roman" w:hAnsi="Times New Roman" w:eastAsia="仿宋_GB2312"/>
          <w:color w:val="auto"/>
          <w:sz w:val="32"/>
          <w:szCs w:val="32"/>
          <w:shd w:val="clear" w:color="auto" w:fill="FFFFFF"/>
        </w:rPr>
        <w:t>鼓励引导其他非国有房屋租赁主体在疫情期间为受困个体工商户减免租金。对减免租金的房屋业主，2022年缴纳房产税、城镇土地使用税确有困难的，依据其申请酌情给予减免房产税，并按规定实施城镇土地使用税差别化减免政策。执行时间至2022年12月31日。（责任单位：市国资中心、市财政局、市税务局、市市场监管局、各乡镇、街道。列第一位的为牵头单位，下同）</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shd w:val="clear" w:color="auto" w:fill="FFFFFF"/>
        </w:rPr>
      </w:pPr>
      <w:r>
        <w:rPr>
          <w:rFonts w:ascii="楷体_GB2312" w:hAnsi="Times New Roman" w:eastAsia="楷体_GB2312"/>
          <w:sz w:val="32"/>
          <w:szCs w:val="32"/>
          <w:shd w:val="clear" w:color="auto" w:fill="FFFFFF"/>
        </w:rPr>
        <w:t>（八）实施降低失业保险费率。</w:t>
      </w:r>
      <w:r>
        <w:rPr>
          <w:rFonts w:ascii="Times New Roman" w:hAnsi="Times New Roman" w:eastAsia="仿宋_GB2312"/>
          <w:sz w:val="32"/>
          <w:szCs w:val="32"/>
          <w:shd w:val="clear" w:color="auto" w:fill="FFFFFF"/>
        </w:rPr>
        <w:t>延续实施阶段性下调失业保险费率政策，执行期限至2023年4月30日。（责任单位：市人社局、市财政局、市税务局）</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shd w:val="clear" w:color="auto" w:fill="FFFFFF"/>
        </w:rPr>
      </w:pPr>
      <w:r>
        <w:rPr>
          <w:rFonts w:ascii="楷体_GB2312" w:hAnsi="Times New Roman" w:eastAsia="楷体_GB2312"/>
          <w:sz w:val="32"/>
          <w:szCs w:val="32"/>
          <w:shd w:val="clear" w:color="auto" w:fill="FFFFFF"/>
        </w:rPr>
        <w:t>（九）实施稳岗返还政策。</w:t>
      </w:r>
      <w:r>
        <w:rPr>
          <w:rFonts w:ascii="Times New Roman" w:hAnsi="Times New Roman" w:eastAsia="仿宋_GB2312"/>
          <w:sz w:val="32"/>
          <w:szCs w:val="32"/>
          <w:shd w:val="clear" w:color="auto" w:fill="FFFFFF"/>
        </w:rPr>
        <w:t>参保企业（含劳务派遣企业）2021年度未裁员或裁员率不高于2021年度全国城镇调查失业率控制目标（5.5%），2021年末参保30人（含）以下的企业裁员率不高于参保职工总数20%的，可以申请失业保险稳岗返还。大型企业按企业及其职工上年度实际缴纳失业保险费的30%返还，中小微企业按90%返还。社会团体、基金会、社会服务机构、律师事务所、会计师事务所、以单位形式参保的个体工商户参照实施。（责任单位：市人社局、市财政局、市税务局）</w:t>
      </w:r>
    </w:p>
    <w:p>
      <w:pPr>
        <w:spacing w:line="576" w:lineRule="exact"/>
        <w:ind w:firstLine="640" w:firstLineChars="200"/>
        <w:rPr>
          <w:rFonts w:ascii="Times New Roman" w:hAnsi="Times New Roman" w:eastAsia="仿宋_GB2312" w:cs="Times New Roman"/>
          <w:color w:val="auto"/>
          <w:kern w:val="0"/>
          <w:sz w:val="32"/>
          <w:szCs w:val="32"/>
          <w:shd w:val="clear" w:color="auto" w:fill="FFFFFF"/>
          <w:lang w:bidi="ar"/>
        </w:rPr>
      </w:pPr>
      <w:r>
        <w:rPr>
          <w:rFonts w:ascii="楷体_GB2312" w:hAnsi="Times New Roman" w:eastAsia="楷体_GB2312" w:cs="Times New Roman"/>
          <w:kern w:val="0"/>
          <w:sz w:val="32"/>
          <w:szCs w:val="32"/>
          <w:shd w:val="clear" w:color="auto" w:fill="FFFFFF"/>
        </w:rPr>
        <w:t>（十）实施暂缓养老保险政策。</w:t>
      </w:r>
      <w:r>
        <w:rPr>
          <w:rFonts w:ascii="Times New Roman" w:hAnsi="Times New Roman" w:eastAsia="仿宋_GB2312" w:cs="Times New Roman"/>
          <w:sz w:val="32"/>
          <w:szCs w:val="32"/>
          <w:shd w:val="clear" w:color="auto" w:fill="FFFFFF"/>
        </w:rPr>
        <w:t>实施暂缓养老保险政策，</w:t>
      </w:r>
      <w:r>
        <w:rPr>
          <w:rFonts w:ascii="Times New Roman" w:hAnsi="Times New Roman" w:eastAsia="仿宋_GB2312" w:cs="Times New Roman"/>
          <w:kern w:val="0"/>
          <w:sz w:val="32"/>
          <w:szCs w:val="32"/>
          <w:shd w:val="clear" w:color="auto" w:fill="FFFFFF"/>
          <w:lang w:bidi="ar"/>
        </w:rPr>
        <w:t>以个人身份参加企业职工基本养老保险的个体工商户和各类灵活就业人员，2022年缴纳养老保险费有困难的，可自愿暂缓缴费至2023年底前补缴。（责任单位：市人社局</w:t>
      </w:r>
      <w:r>
        <w:rPr>
          <w:rFonts w:hint="eastAsia" w:ascii="Times New Roman" w:hAnsi="Times New Roman" w:eastAsia="仿宋_GB2312" w:cs="Times New Roman"/>
          <w:kern w:val="0"/>
          <w:sz w:val="32"/>
          <w:szCs w:val="32"/>
          <w:shd w:val="clear" w:color="auto" w:fill="FFFFFF"/>
          <w:lang w:eastAsia="zh-CN" w:bidi="ar"/>
        </w:rPr>
        <w:t>、</w:t>
      </w:r>
      <w:r>
        <w:rPr>
          <w:rFonts w:hint="eastAsia" w:ascii="Times New Roman" w:hAnsi="Times New Roman" w:eastAsia="仿宋_GB2312" w:cs="Times New Roman"/>
          <w:color w:val="auto"/>
          <w:kern w:val="0"/>
          <w:sz w:val="32"/>
          <w:szCs w:val="32"/>
          <w:shd w:val="clear" w:color="auto" w:fill="FFFFFF"/>
          <w:lang w:eastAsia="zh-CN" w:bidi="ar"/>
        </w:rPr>
        <w:t>市财政局、市税务局</w:t>
      </w:r>
      <w:r>
        <w:rPr>
          <w:rFonts w:ascii="Times New Roman" w:hAnsi="Times New Roman" w:eastAsia="仿宋_GB2312" w:cs="Times New Roman"/>
          <w:color w:val="auto"/>
          <w:kern w:val="0"/>
          <w:sz w:val="32"/>
          <w:szCs w:val="32"/>
          <w:shd w:val="clear" w:color="auto" w:fill="FFFFFF"/>
          <w:lang w:bidi="ar"/>
        </w:rPr>
        <w:t>）</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（十一）保障个体工商户水电气供应。</w:t>
      </w:r>
      <w:r>
        <w:rPr>
          <w:rFonts w:ascii="Times New Roman" w:hAnsi="Times New Roman" w:eastAsia="仿宋_GB2312"/>
          <w:sz w:val="32"/>
          <w:szCs w:val="32"/>
          <w:shd w:val="clear" w:color="auto" w:fill="FFFFFF"/>
        </w:rPr>
        <w:t>对个体工商业用电实施阶段性优惠，电压等级不满1千伏的个体工商户在2022年不分摊天然气发电容量电费等费用。对受疫情影响无力足额缴纳电、气、水费用的个体工商户，按照有关规定实行“欠费不停供”措施。执行时间至2022年12月31日。（责任单位：市发改局、市水务公司、市电力公司、江城燃气公司）</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（十二）减免检验检测费用。</w:t>
      </w:r>
      <w:r>
        <w:rPr>
          <w:rFonts w:ascii="Times New Roman" w:hAnsi="Times New Roman" w:eastAsia="仿宋_GB2312"/>
          <w:sz w:val="32"/>
          <w:szCs w:val="32"/>
          <w:shd w:val="clear" w:color="auto" w:fill="FFFFFF"/>
        </w:rPr>
        <w:t>减半收取餐饮住宿业个体工商户电梯、锅炉、锅炉水（介）质等检验检测费用。鼓励政府机关所属事业单位、国有企业法人性质的产品质量检验检测机构、认证认可机构为其他行业个体工商户以非营利方式提供检验检测服务。执行时间至2023年12月31日。（责任单位：市市场监管局）</w:t>
      </w:r>
    </w:p>
    <w:p>
      <w:pPr>
        <w:pStyle w:val="7"/>
        <w:shd w:val="clear" w:color="auto" w:fill="FFFFFF"/>
        <w:spacing w:beforeAutospacing="0" w:afterAutospacing="0" w:line="576" w:lineRule="exact"/>
        <w:ind w:firstLine="640" w:firstLineChars="200"/>
        <w:jc w:val="both"/>
        <w:rPr>
          <w:rStyle w:val="10"/>
          <w:rFonts w:ascii="Times New Roman" w:hAnsi="Times New Roman" w:eastAsia="黑体"/>
          <w:b w:val="0"/>
          <w:shd w:val="clear" w:color="auto" w:fill="FFFFFF"/>
        </w:rPr>
      </w:pPr>
      <w:r>
        <w:rPr>
          <w:rStyle w:val="10"/>
          <w:rFonts w:ascii="Times New Roman" w:hAnsi="Times New Roman" w:eastAsia="黑体"/>
          <w:b w:val="0"/>
          <w:sz w:val="32"/>
          <w:szCs w:val="32"/>
          <w:shd w:val="clear" w:color="auto" w:fill="FFFFFF"/>
        </w:rPr>
        <w:t>二、给予个体工商户专项补贴</w:t>
      </w:r>
    </w:p>
    <w:p>
      <w:pPr>
        <w:spacing w:line="576" w:lineRule="exact"/>
        <w:ind w:firstLine="640" w:firstLineChars="200"/>
        <w:rPr>
          <w:rFonts w:ascii="Times New Roman" w:hAnsi="Times New Roman" w:eastAsia="仿宋_GB2312" w:cs="Times New Roman"/>
          <w:kern w:val="0"/>
          <w:sz w:val="32"/>
          <w:szCs w:val="32"/>
          <w:shd w:val="clear" w:color="auto" w:fill="FFFFFF"/>
          <w:lang w:bidi="ar"/>
        </w:rPr>
      </w:pPr>
      <w:r>
        <w:rPr>
          <w:rFonts w:ascii="楷体_GB2312" w:hAnsi="Times New Roman" w:eastAsia="楷体_GB2312" w:cs="Times New Roman"/>
          <w:kern w:val="0"/>
          <w:sz w:val="32"/>
          <w:szCs w:val="32"/>
          <w:shd w:val="clear" w:color="auto" w:fill="FFFFFF"/>
        </w:rPr>
        <w:t>（十三）补贴防疫、消杀支出。</w:t>
      </w:r>
      <w:r>
        <w:rPr>
          <w:rFonts w:ascii="Times New Roman" w:hAnsi="Times New Roman" w:eastAsia="仿宋_GB2312" w:cs="Times New Roman"/>
          <w:sz w:val="32"/>
          <w:szCs w:val="32"/>
          <w:shd w:val="clear" w:color="auto" w:fill="FFFFFF"/>
        </w:rPr>
        <w:t>2022年将餐饮业、零售业个体工商户从业人员纳入免费核酸检测人群，按重点人员核酸检测要求定期开展核酸检测。（责任单位：市市场监管局、市财政局，各乡镇、街道）</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（十四）支持开展促消费专项行动。</w:t>
      </w:r>
      <w:r>
        <w:rPr>
          <w:rFonts w:ascii="Times New Roman" w:hAnsi="Times New Roman" w:eastAsia="仿宋_GB2312"/>
          <w:sz w:val="32"/>
          <w:szCs w:val="32"/>
          <w:shd w:val="clear" w:color="auto" w:fill="FFFFFF"/>
        </w:rPr>
        <w:t>围绕受疫情影响严重、就业容量大的文旅、餐饮、住宿、零售等行业，定向发放消费券、服务券等惠民补贴，提升个体工商户经营性收入。（责任单位：市商务局、市文旅局）</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shd w:val="clear" w:color="auto" w:fill="FFFFFF"/>
        </w:rPr>
      </w:pPr>
      <w:r>
        <w:rPr>
          <w:rFonts w:ascii="楷体_GB2312" w:hAnsi="Times New Roman" w:eastAsia="楷体_GB2312"/>
          <w:sz w:val="32"/>
          <w:szCs w:val="32"/>
          <w:shd w:val="clear" w:color="auto" w:fill="FFFFFF"/>
        </w:rPr>
        <w:t>（十五）支持提升就业创业能力。</w:t>
      </w:r>
      <w:r>
        <w:rPr>
          <w:rFonts w:ascii="Times New Roman" w:hAnsi="Times New Roman" w:eastAsia="仿宋_GB2312"/>
          <w:sz w:val="32"/>
          <w:szCs w:val="32"/>
          <w:shd w:val="clear" w:color="auto" w:fill="FFFFFF"/>
        </w:rPr>
        <w:t>深入实施“金蓝领”职业技能提升行动，鼓励个体工商户参加职业技能培训，按规定给予培训补贴。优化培训管理服务，简化补贴申领程序。（责任单位：市人社局、市市场监管局）</w:t>
      </w:r>
    </w:p>
    <w:p>
      <w:pPr>
        <w:spacing w:line="576" w:lineRule="exact"/>
        <w:ind w:firstLine="640" w:firstLineChars="200"/>
        <w:rPr>
          <w:rFonts w:ascii="Times New Roman" w:hAnsi="Times New Roman" w:eastAsia="仿宋_GB2312" w:cs="Times New Roman"/>
          <w:kern w:val="0"/>
          <w:sz w:val="32"/>
          <w:szCs w:val="32"/>
          <w:shd w:val="clear" w:color="auto" w:fill="FFFFFF"/>
          <w:lang w:bidi="ar"/>
        </w:rPr>
      </w:pPr>
      <w:r>
        <w:rPr>
          <w:rFonts w:ascii="楷体_GB2312" w:hAnsi="Times New Roman" w:eastAsia="楷体_GB2312" w:cs="Times New Roman"/>
          <w:kern w:val="0"/>
          <w:sz w:val="32"/>
          <w:szCs w:val="32"/>
          <w:shd w:val="clear" w:color="auto" w:fill="FFFFFF"/>
        </w:rPr>
        <w:t>（十六）支持餐饮经营户发展。</w:t>
      </w:r>
      <w:r>
        <w:rPr>
          <w:rFonts w:ascii="Times New Roman" w:hAnsi="Times New Roman" w:eastAsia="仿宋_GB2312" w:cs="Times New Roman"/>
          <w:sz w:val="32"/>
          <w:szCs w:val="32"/>
          <w:shd w:val="clear" w:color="auto" w:fill="FFFFFF"/>
        </w:rPr>
        <w:t>对已安装“阳光厨房”，实施明厨亮灶智慧监管，强化疫情期间食品安全的餐饮业个体工商户给予每户1000元补贴。执行时间至2022年12月31日。（责任单位：市市场监管局、市财政局）</w:t>
      </w:r>
    </w:p>
    <w:p>
      <w:pPr>
        <w:spacing w:line="576" w:lineRule="exact"/>
        <w:ind w:firstLine="640" w:firstLineChars="200"/>
        <w:rPr>
          <w:rFonts w:ascii="Times New Roman" w:hAnsi="Times New Roman" w:eastAsia="仿宋_GB2312" w:cs="Times New Roman"/>
          <w:kern w:val="0"/>
          <w:sz w:val="32"/>
          <w:szCs w:val="32"/>
          <w:shd w:val="clear" w:color="auto" w:fill="FFFFFF"/>
          <w:lang w:bidi="ar"/>
        </w:rPr>
      </w:pPr>
      <w:r>
        <w:rPr>
          <w:rFonts w:ascii="楷体_GB2312" w:hAnsi="Times New Roman" w:eastAsia="楷体_GB2312" w:cs="Times New Roman"/>
          <w:kern w:val="0"/>
          <w:sz w:val="32"/>
          <w:szCs w:val="32"/>
          <w:shd w:val="clear" w:color="auto" w:fill="FFFFFF"/>
        </w:rPr>
        <w:t>（十七）支持进口经营户发展。</w:t>
      </w:r>
      <w:r>
        <w:rPr>
          <w:rFonts w:ascii="Times New Roman" w:hAnsi="Times New Roman" w:eastAsia="仿宋_GB2312" w:cs="Times New Roman"/>
          <w:kern w:val="0"/>
          <w:sz w:val="32"/>
          <w:szCs w:val="32"/>
          <w:shd w:val="clear" w:color="auto" w:fill="FFFFFF"/>
          <w:lang w:bidi="ar"/>
        </w:rPr>
        <w:t>对进口商品经营户按规定做好核酸检测、环境消杀、入场扫码、进口商品全部纳入集中监管仓管理的，按货值多少给予每月 500 至 1000 元补助（货值 2 万元以下的补助 500 元，货值 2 万元以上的补助 1000 元）。（责任单位：市市场监管局）</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shd w:val="clear" w:color="auto" w:fill="FFFFFF"/>
        </w:rPr>
      </w:pPr>
      <w:r>
        <w:rPr>
          <w:rFonts w:ascii="楷体_GB2312" w:hAnsi="Times New Roman" w:eastAsia="楷体_GB2312"/>
          <w:sz w:val="32"/>
          <w:szCs w:val="32"/>
          <w:shd w:val="clear" w:color="auto" w:fill="FFFFFF"/>
        </w:rPr>
        <w:t>（十八）支持入统服务个体工商户。</w:t>
      </w:r>
      <w:r>
        <w:rPr>
          <w:rFonts w:ascii="Times New Roman" w:hAnsi="Times New Roman" w:eastAsia="仿宋_GB2312"/>
          <w:sz w:val="32"/>
          <w:szCs w:val="32"/>
          <w:shd w:val="clear" w:color="auto" w:fill="FFFFFF"/>
        </w:rPr>
        <w:t>对限上批零住餐个体工商户予以每户3000元一次性资金补贴。（责任单位：市商务局、市财政局）</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shd w:val="clear" w:color="auto" w:fill="FFFFFF"/>
          <w:lang w:bidi="ar"/>
        </w:rPr>
      </w:pPr>
      <w:r>
        <w:rPr>
          <w:rFonts w:ascii="楷体_GB2312" w:hAnsi="Times New Roman" w:eastAsia="楷体_GB2312"/>
          <w:sz w:val="32"/>
          <w:szCs w:val="32"/>
          <w:shd w:val="clear" w:color="auto" w:fill="FFFFFF"/>
        </w:rPr>
        <w:t>（十九）支持创业创新扶持。</w:t>
      </w:r>
      <w:r>
        <w:rPr>
          <w:rFonts w:ascii="Times New Roman" w:hAnsi="Times New Roman" w:eastAsia="仿宋_GB2312"/>
          <w:sz w:val="32"/>
          <w:szCs w:val="32"/>
          <w:shd w:val="clear" w:color="auto" w:fill="FFFFFF"/>
          <w:lang w:bidi="ar"/>
        </w:rPr>
        <w:t>单个个体工商户单次申领创新券最高额度不超过5万元。（责任单位：市科技局）</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shd w:val="clear" w:color="auto" w:fill="FFFFFF"/>
        </w:rPr>
      </w:pPr>
      <w:r>
        <w:rPr>
          <w:rFonts w:ascii="楷体_GB2312" w:hAnsi="Times New Roman" w:eastAsia="楷体_GB2312"/>
          <w:sz w:val="32"/>
          <w:szCs w:val="32"/>
          <w:shd w:val="clear" w:color="auto" w:fill="FFFFFF"/>
        </w:rPr>
        <w:t>（二十）支持个体工商户做大做强。</w:t>
      </w:r>
      <w:r>
        <w:rPr>
          <w:rFonts w:ascii="Times New Roman" w:hAnsi="Times New Roman" w:eastAsia="仿宋_GB2312"/>
          <w:sz w:val="32"/>
          <w:szCs w:val="32"/>
          <w:shd w:val="clear" w:color="auto" w:fill="FFFFFF"/>
        </w:rPr>
        <w:t>对正常经营满1年以上的个体工商户通过“个转企”升级为小微企业，免费提供1年财务基本维护服务，当年年度营业收入在200万以上的，每家给予1万元一次性奖励；当年年度营业收入在300万元以上的，每家给予2万元一次性奖励。（责任单位：市市场监管局、市财政局）</w:t>
      </w:r>
    </w:p>
    <w:p>
      <w:pPr>
        <w:pStyle w:val="7"/>
        <w:shd w:val="clear" w:color="auto" w:fill="FFFFFF"/>
        <w:spacing w:beforeAutospacing="0" w:afterAutospacing="0" w:line="576" w:lineRule="exact"/>
        <w:ind w:firstLine="640" w:firstLineChars="200"/>
        <w:jc w:val="both"/>
        <w:rPr>
          <w:rStyle w:val="10"/>
          <w:rFonts w:ascii="Times New Roman" w:hAnsi="Times New Roman" w:eastAsia="黑体"/>
          <w:b w:val="0"/>
          <w:shd w:val="clear" w:color="auto" w:fill="FFFFFF"/>
        </w:rPr>
      </w:pPr>
      <w:r>
        <w:rPr>
          <w:rStyle w:val="10"/>
          <w:rFonts w:ascii="Times New Roman" w:hAnsi="Times New Roman" w:eastAsia="黑体"/>
          <w:b w:val="0"/>
          <w:sz w:val="32"/>
          <w:szCs w:val="32"/>
          <w:shd w:val="clear" w:color="auto" w:fill="FFFFFF"/>
        </w:rPr>
        <w:t>三、强化个体工商户金融帮扶</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（二十一）降低支付服务手续费。</w:t>
      </w:r>
      <w:r>
        <w:rPr>
          <w:rFonts w:ascii="Times New Roman" w:hAnsi="Times New Roman" w:eastAsia="仿宋_GB2312"/>
          <w:sz w:val="32"/>
          <w:szCs w:val="32"/>
          <w:shd w:val="clear" w:color="auto" w:fill="FFFFFF"/>
        </w:rPr>
        <w:t>指导、督促银行机构、支付机构落实个体工商户支付手续费降低政策，降低个体工商户经营成本。（责任单位：人行江山支行、市发改局、市市场监管局、市银保监组）</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（二十二）推动个体工商户信用贷款和首贷户扩面增量。</w:t>
      </w:r>
      <w:r>
        <w:rPr>
          <w:rFonts w:ascii="Times New Roman" w:hAnsi="Times New Roman" w:eastAsia="仿宋_GB2312"/>
          <w:sz w:val="32"/>
          <w:szCs w:val="32"/>
          <w:shd w:val="clear" w:color="auto" w:fill="FFFFFF"/>
        </w:rPr>
        <w:t>开展个体工商户融资破难行动，完善个体工商户信用评价体系，提升信用贷款支持水平，力争2022年新增个体工商户经营性信用贷款</w:t>
      </w:r>
      <w:r>
        <w:rPr>
          <w:rFonts w:hint="eastAsia" w:ascii="Times New Roman" w:hAnsi="Times New Roman" w:eastAsia="仿宋_GB2312"/>
          <w:sz w:val="32"/>
          <w:szCs w:val="32"/>
          <w:shd w:val="clear" w:color="auto" w:fill="FFFFFF"/>
          <w:lang w:val="en-US" w:eastAsia="zh-CN"/>
        </w:rPr>
        <w:t>2.7</w:t>
      </w:r>
      <w:bookmarkStart w:id="0" w:name="_GoBack"/>
      <w:bookmarkEnd w:id="0"/>
      <w:r>
        <w:rPr>
          <w:rFonts w:ascii="Times New Roman" w:hAnsi="Times New Roman" w:eastAsia="仿宋_GB2312"/>
          <w:sz w:val="32"/>
          <w:szCs w:val="32"/>
          <w:shd w:val="clear" w:color="auto" w:fill="FFFFFF"/>
        </w:rPr>
        <w:t>亿元。深入落实“首贷户拓展专项行动”，持续加强首贷户培育拓展，为符合条件的个体工商户提供首贷和续贷支持。合理拓宽个体工商户服务边界，提高个体工商户金融服务的可及性和满意度。（责任单位：人行江山支行、市市场监管局、市银保监组）</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（二十三）发挥好央行政策性低息资金支持作用。引导</w:t>
      </w:r>
      <w:r>
        <w:rPr>
          <w:rFonts w:ascii="Times New Roman" w:hAnsi="Times New Roman" w:eastAsia="仿宋_GB2312"/>
          <w:sz w:val="32"/>
          <w:szCs w:val="32"/>
          <w:shd w:val="clear" w:color="auto" w:fill="FFFFFF"/>
        </w:rPr>
        <w:t>银行用好降准释放资金，以及贷款市场报价利率（LPR）、支农支小再贷款利率下调等政策，用好支农支小再贷款政策工具，为符合条件的个体工商户提供更多支持。（责任单位：人行江山支行）</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（二十四）丰富个体工商户信贷产品。</w:t>
      </w:r>
      <w:r>
        <w:rPr>
          <w:rFonts w:ascii="Times New Roman" w:hAnsi="Times New Roman" w:eastAsia="仿宋_GB2312"/>
          <w:sz w:val="32"/>
          <w:szCs w:val="32"/>
          <w:shd w:val="clear" w:color="auto" w:fill="FFFFFF"/>
        </w:rPr>
        <w:t>推广无还本续贷、随借随还类信贷产品，满足个体工商户“短频急快”的融资需求。（责任单位：人行江山支行、市银保监组）</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（二十五）鼓励保险机构优化产品和服务。</w:t>
      </w:r>
      <w:r>
        <w:rPr>
          <w:rFonts w:ascii="Times New Roman" w:hAnsi="Times New Roman" w:eastAsia="仿宋_GB2312"/>
          <w:sz w:val="32"/>
          <w:szCs w:val="32"/>
          <w:shd w:val="clear" w:color="auto" w:fill="FFFFFF"/>
        </w:rPr>
        <w:t>探索面向新产业、新业态个体工商户和灵活就业人员推出多样化保险产品和服务，充分发挥保险“稳定器”作用。探索开展因疫情导致餐饮业个体工商户营业中断损失保险，提升理赔效率，提高对餐饮业个体工商户的保障程度。鼓励有条件的地方给予保费补贴。（责任单位：市银保监组、市市场监管局）</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（二十六）加大个体工商户创业担保贷款支持。</w:t>
      </w:r>
      <w:r>
        <w:rPr>
          <w:rFonts w:ascii="Times New Roman" w:hAnsi="Times New Roman" w:eastAsia="仿宋_GB2312"/>
          <w:sz w:val="32"/>
          <w:szCs w:val="32"/>
          <w:shd w:val="clear" w:color="auto" w:fill="FFFFFF"/>
        </w:rPr>
        <w:t>对初次创业的个体工商户经营者，符合法定劳动年龄且个人信用记录良好的，最高可申请不超过50万元的创业担保贷款。对已发放的个体创业担保贷款，受疫情影响还款出现困难的，可向贷款银行申请展期还款，展期期限原则上不超过1年，给予贴息支持。（责任单位：人行江山支行、市财政局、市人社局、市金融服务中心）</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shd w:val="clear" w:color="auto" w:fill="FFFFFF"/>
        </w:rPr>
      </w:pPr>
      <w:r>
        <w:rPr>
          <w:rFonts w:ascii="楷体_GB2312" w:hAnsi="Times New Roman" w:eastAsia="楷体_GB2312"/>
          <w:sz w:val="32"/>
          <w:szCs w:val="32"/>
          <w:shd w:val="clear" w:color="auto" w:fill="FFFFFF"/>
        </w:rPr>
        <w:t>（二十七）加大汇率避险支持力度。</w:t>
      </w:r>
      <w:r>
        <w:rPr>
          <w:rFonts w:ascii="Times New Roman" w:hAnsi="Times New Roman" w:eastAsia="仿宋_GB2312"/>
          <w:sz w:val="32"/>
          <w:szCs w:val="32"/>
          <w:shd w:val="clear" w:color="auto" w:fill="FFFFFF"/>
        </w:rPr>
        <w:t>拓展政府性融资担保支持小微企业汇率避险政策服务对象，探索将符合外汇管理部门结售汇相关要求的个体工商户纳入支持范围，持续提升政策覆盖面和影响力。（责任单位：人行江山支行、市财政局、市商务局、市金融服务中心、市银保监组）</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shd w:val="clear" w:color="auto" w:fill="FFFFFF"/>
        </w:rPr>
      </w:pPr>
      <w:r>
        <w:rPr>
          <w:rFonts w:ascii="楷体_GB2312" w:hAnsi="Times New Roman" w:eastAsia="楷体_GB2312"/>
          <w:sz w:val="32"/>
          <w:szCs w:val="32"/>
          <w:shd w:val="clear" w:color="auto" w:fill="FFFFFF"/>
        </w:rPr>
        <w:t>（二十八）深化“信用+”评价体系，</w:t>
      </w:r>
      <w:r>
        <w:rPr>
          <w:rFonts w:ascii="Times New Roman" w:hAnsi="Times New Roman" w:eastAsia="仿宋_GB2312"/>
          <w:sz w:val="32"/>
          <w:szCs w:val="32"/>
          <w:shd w:val="clear" w:color="auto" w:fill="FFFFFF"/>
        </w:rPr>
        <w:t>推广“浙江小微增信服务平台”，筛选一批信用好、潜力大的个体工商户名单纳入银行信用融资“白名单”。（责任单位：市市场监管局、人行江山支行）</w:t>
      </w:r>
    </w:p>
    <w:p>
      <w:pPr>
        <w:pStyle w:val="7"/>
        <w:shd w:val="clear" w:color="auto" w:fill="FFFFFF"/>
        <w:spacing w:beforeAutospacing="0" w:afterAutospacing="0" w:line="576" w:lineRule="exact"/>
        <w:ind w:firstLine="640" w:firstLineChars="200"/>
        <w:jc w:val="both"/>
        <w:rPr>
          <w:rStyle w:val="10"/>
          <w:rFonts w:ascii="Times New Roman" w:hAnsi="Times New Roman" w:eastAsia="黑体"/>
          <w:b w:val="0"/>
          <w:shd w:val="clear" w:color="auto" w:fill="FFFFFF"/>
        </w:rPr>
      </w:pPr>
      <w:r>
        <w:rPr>
          <w:rStyle w:val="10"/>
          <w:rFonts w:ascii="Times New Roman" w:hAnsi="Times New Roman" w:eastAsia="黑体"/>
          <w:b w:val="0"/>
          <w:sz w:val="32"/>
          <w:szCs w:val="32"/>
          <w:shd w:val="clear" w:color="auto" w:fill="FFFFFF"/>
        </w:rPr>
        <w:t>四、优化个体工商户营商环境</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（二十九）推行歇业制度。</w:t>
      </w:r>
      <w:r>
        <w:rPr>
          <w:rFonts w:ascii="Times New Roman" w:hAnsi="Times New Roman" w:eastAsia="仿宋_GB2312"/>
          <w:sz w:val="32"/>
          <w:szCs w:val="32"/>
          <w:shd w:val="clear" w:color="auto" w:fill="FFFFFF"/>
        </w:rPr>
        <w:t>对因自然灾害、事故灾难、公共卫生事件、社会安全事件等暂时无法开展经营活动，但仍有较强经营意愿和能力的个体工商户，在与雇工依法协商劳动关系处理等有关事项后，允许个体工商户按规定程序进行歇业。（责任单位：市市场监管局，市相关部门）</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shd w:val="clear" w:color="auto" w:fill="FFFFFF"/>
        </w:rPr>
      </w:pPr>
      <w:r>
        <w:rPr>
          <w:rFonts w:ascii="楷体_GB2312" w:hAnsi="Times New Roman" w:eastAsia="楷体_GB2312"/>
          <w:sz w:val="32"/>
          <w:szCs w:val="32"/>
          <w:shd w:val="clear" w:color="auto" w:fill="FFFFFF"/>
        </w:rPr>
        <w:t>（三十）加快个体工商户准入准营。</w:t>
      </w:r>
      <w:r>
        <w:rPr>
          <w:rFonts w:ascii="Times New Roman" w:hAnsi="Times New Roman" w:eastAsia="仿宋_GB2312"/>
          <w:sz w:val="32"/>
          <w:szCs w:val="32"/>
          <w:shd w:val="clear" w:color="auto" w:fill="FFFFFF"/>
        </w:rPr>
        <w:t>全面实施准入准营“一件事”改革，分批推动高频行业证照集成办理，实现“准入即准营”。（责任单位：市市场监管局，市相关部门）</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（三十一）建立个体工商户培育库。</w:t>
      </w:r>
      <w:r>
        <w:rPr>
          <w:rFonts w:ascii="Times New Roman" w:hAnsi="Times New Roman" w:eastAsia="仿宋_GB2312"/>
          <w:sz w:val="32"/>
          <w:szCs w:val="32"/>
          <w:shd w:val="clear" w:color="auto" w:fill="FFFFFF"/>
          <w:lang w:bidi="ar"/>
        </w:rPr>
        <w:t>筛选具有成长潜力的个体工商户，宣传各项惠企政策，支持个体工商户转型升级，按照个转企年度增长计划数1：1.5建立个转企后备库。</w:t>
      </w:r>
      <w:r>
        <w:rPr>
          <w:rFonts w:ascii="Times New Roman" w:hAnsi="Times New Roman" w:eastAsia="仿宋_GB2312"/>
          <w:sz w:val="32"/>
          <w:szCs w:val="32"/>
          <w:shd w:val="clear" w:color="auto" w:fill="FFFFFF"/>
        </w:rPr>
        <w:t>（责任单位：市市场监管局）</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（三十二）营造公平有序的市场环境。</w:t>
      </w:r>
      <w:r>
        <w:rPr>
          <w:rFonts w:ascii="Times New Roman" w:hAnsi="Times New Roman" w:eastAsia="仿宋_GB2312"/>
          <w:sz w:val="32"/>
          <w:szCs w:val="32"/>
          <w:shd w:val="clear" w:color="auto" w:fill="FFFFFF"/>
        </w:rPr>
        <w:t>全面落实公平竞争审查制度，开展破除地方保护和市场分割专项行动，保障个体工商户一视同仁享受政策支持。进一步加强重点领域收费监督检查，坚决制止各种加重个体工商户负担的行为。依法查处平台经济领域垄断和不正当竞争行为。推进柔性执法，对轻微违法行为依法实行“首次不罚”。（责任单位：市市场监管局）</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rPr>
      </w:pPr>
      <w:r>
        <w:rPr>
          <w:rFonts w:ascii="楷体_GB2312" w:hAnsi="Times New Roman" w:eastAsia="楷体_GB2312"/>
          <w:sz w:val="32"/>
          <w:szCs w:val="32"/>
          <w:shd w:val="clear" w:color="auto" w:fill="FFFFFF"/>
        </w:rPr>
        <w:t>（三十三）引导和鼓励互联网平台企业开展个体工商户纾困帮扶行动。</w:t>
      </w:r>
      <w:r>
        <w:rPr>
          <w:rFonts w:ascii="Times New Roman" w:hAnsi="Times New Roman" w:eastAsia="仿宋_GB2312"/>
          <w:sz w:val="32"/>
          <w:szCs w:val="32"/>
          <w:shd w:val="clear" w:color="auto" w:fill="FFFFFF"/>
        </w:rPr>
        <w:t>对个体工商户给予专门的流量扶持，帮助降低贷记支付手续费及运费险单均成本，开展免费技术培训服务，简化线上运营规则。优化营销数字工具，提供更便捷高效的大数据基础运营服务。（责任单位：市市场监管局、市商务局）</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shd w:val="clear" w:color="auto" w:fill="FFFFFF"/>
        </w:rPr>
      </w:pPr>
      <w:r>
        <w:rPr>
          <w:rFonts w:ascii="楷体_GB2312" w:hAnsi="Times New Roman" w:eastAsia="楷体_GB2312"/>
          <w:sz w:val="32"/>
          <w:szCs w:val="32"/>
          <w:shd w:val="clear" w:color="auto" w:fill="FFFFFF"/>
        </w:rPr>
        <w:t>（三十四）全面实施信用监管。</w:t>
      </w:r>
      <w:r>
        <w:rPr>
          <w:rFonts w:ascii="Times New Roman" w:hAnsi="Times New Roman" w:eastAsia="仿宋_GB2312"/>
          <w:sz w:val="32"/>
          <w:szCs w:val="32"/>
          <w:shd w:val="clear" w:color="auto" w:fill="FFFFFF"/>
        </w:rPr>
        <w:t>推行“双随机+信用”监管，对信用水平高、风险水平低的个体工商户，减少抽查比例和频次。受疫情影响未能及时还款的逾期信贷业务，可通过征信异议申请征信权益保障。对暂时失联或未按时报送年度报告被标记为经营异常状态的，支持个体工商户重新取得联系或补报年度报告后即时恢复正常记载状态。（责任单位：市市场监管局、</w:t>
      </w:r>
      <w:r>
        <w:rPr>
          <w:rFonts w:hint="eastAsia" w:ascii="Times New Roman" w:hAnsi="Times New Roman" w:eastAsia="仿宋_GB2312"/>
          <w:color w:val="auto"/>
          <w:sz w:val="32"/>
          <w:szCs w:val="32"/>
          <w:shd w:val="clear" w:color="auto" w:fill="FFFFFF"/>
          <w:lang w:eastAsia="zh-CN"/>
        </w:rPr>
        <w:t>市营商办、市相关部门</w:t>
      </w:r>
      <w:r>
        <w:rPr>
          <w:rFonts w:ascii="Times New Roman" w:hAnsi="Times New Roman" w:eastAsia="仿宋_GB2312"/>
          <w:color w:val="auto"/>
          <w:sz w:val="32"/>
          <w:szCs w:val="32"/>
          <w:shd w:val="clear" w:color="auto" w:fill="FFFFFF"/>
        </w:rPr>
        <w:t>、</w:t>
      </w:r>
      <w:r>
        <w:rPr>
          <w:rFonts w:ascii="Times New Roman" w:hAnsi="Times New Roman" w:eastAsia="仿宋_GB2312"/>
          <w:sz w:val="32"/>
          <w:szCs w:val="32"/>
          <w:shd w:val="clear" w:color="auto" w:fill="FFFFFF"/>
        </w:rPr>
        <w:t>人行江山支行）</w:t>
      </w:r>
    </w:p>
    <w:p>
      <w:pPr>
        <w:spacing w:line="576" w:lineRule="exact"/>
        <w:ind w:firstLine="640" w:firstLineChars="200"/>
        <w:rPr>
          <w:rFonts w:ascii="Times New Roman" w:hAnsi="Times New Roman" w:eastAsia="仿宋_GB2312" w:cs="Times New Roman"/>
          <w:kern w:val="0"/>
          <w:sz w:val="32"/>
          <w:szCs w:val="32"/>
          <w:shd w:val="clear" w:color="auto" w:fill="FFFFFF"/>
          <w:lang w:bidi="ar"/>
        </w:rPr>
      </w:pPr>
      <w:r>
        <w:rPr>
          <w:rFonts w:ascii="楷体_GB2312" w:hAnsi="Times New Roman" w:eastAsia="楷体_GB2312" w:cs="Times New Roman"/>
          <w:kern w:val="0"/>
          <w:sz w:val="32"/>
          <w:szCs w:val="32"/>
          <w:shd w:val="clear" w:color="auto" w:fill="FFFFFF"/>
        </w:rPr>
        <w:t>（三十五）进一步优化政策兑现流程。</w:t>
      </w:r>
      <w:r>
        <w:rPr>
          <w:rFonts w:ascii="Times New Roman" w:hAnsi="Times New Roman" w:eastAsia="仿宋_GB2312" w:cs="Times New Roman"/>
          <w:kern w:val="0"/>
          <w:sz w:val="32"/>
          <w:szCs w:val="32"/>
          <w:shd w:val="clear" w:color="auto" w:fill="FFFFFF"/>
          <w:lang w:bidi="ar"/>
        </w:rPr>
        <w:t>各资金拨付单位要做到惠企政策100%上架“政企通”平台，70%以上惠企政策实现免申即享或即申即享，原则上所有惠企资金必须通过“政企通”平台进行拨付，实现“材料最少、环节最少、时间最少”。（责任单位：市营商办、市相关部门）</w:t>
      </w:r>
    </w:p>
    <w:p>
      <w:pPr>
        <w:pStyle w:val="7"/>
        <w:shd w:val="clear" w:color="auto" w:fill="FFFFFF"/>
        <w:spacing w:beforeAutospacing="0" w:afterAutospacing="0" w:line="576" w:lineRule="exact"/>
        <w:ind w:firstLine="640" w:firstLineChars="200"/>
        <w:jc w:val="both"/>
        <w:rPr>
          <w:rFonts w:ascii="Times New Roman" w:hAnsi="Times New Roman" w:eastAsia="仿宋_GB2312"/>
          <w:sz w:val="32"/>
          <w:szCs w:val="32"/>
          <w:shd w:val="clear" w:color="auto" w:fill="FFFFFF"/>
          <w:lang w:bidi="ar"/>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4"/>
      </w:rPr>
    </w:pPr>
    <w:r>
      <w:rPr>
        <w:rFonts w:hint="eastAsia"/>
        <w:sz w:val="24"/>
      </w:rPr>
      <w:t>—</w:t>
    </w:r>
    <w:sdt>
      <w:sdtPr>
        <w:rPr>
          <w:sz w:val="24"/>
        </w:rPr>
        <w:id w:val="-1673247917"/>
        <w:docPartObj>
          <w:docPartGallery w:val="autotext"/>
        </w:docPartObj>
      </w:sdtPr>
      <w:sdtEndPr>
        <w:rPr>
          <w:rFonts w:ascii="Times New Roman" w:hAnsi="Times New Roman" w:cs="Times New Roman"/>
          <w:sz w:val="24"/>
        </w:rPr>
      </w:sdtEndPr>
      <w:sdtContent>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9</w:t>
        </w:r>
        <w:r>
          <w:rPr>
            <w:rFonts w:ascii="Times New Roman" w:hAnsi="Times New Roman" w:cs="Times New Roman"/>
            <w:sz w:val="24"/>
          </w:rPr>
          <w:fldChar w:fldCharType="end"/>
        </w:r>
      </w:sdtContent>
    </w:sdt>
    <w:r>
      <w:rPr>
        <w:rFonts w:hint="eastAsia"/>
        <w:sz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sz w:val="24"/>
      </w:rPr>
    </w:pPr>
    <w:r>
      <w:rPr>
        <w:rFonts w:hint="eastAsia"/>
        <w:sz w:val="24"/>
      </w:rPr>
      <w:t>—</w:t>
    </w:r>
    <w:sdt>
      <w:sdtPr>
        <w:rPr>
          <w:sz w:val="24"/>
        </w:rPr>
        <w:id w:val="-1094399272"/>
        <w:docPartObj>
          <w:docPartGallery w:val="autotext"/>
        </w:docPartObj>
      </w:sdtPr>
      <w:sdtEndPr>
        <w:rPr>
          <w:rFonts w:ascii="Times New Roman" w:hAnsi="Times New Roman" w:cs="Times New Roman"/>
          <w:sz w:val="24"/>
        </w:rPr>
      </w:sdtEndPr>
      <w:sdtContent>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8</w:t>
        </w:r>
        <w:r>
          <w:rPr>
            <w:rFonts w:ascii="Times New Roman" w:hAnsi="Times New Roman" w:cs="Times New Roman"/>
            <w:sz w:val="24"/>
          </w:rPr>
          <w:fldChar w:fldCharType="end"/>
        </w:r>
      </w:sdtContent>
    </w:sdt>
    <w:r>
      <w:rPr>
        <w:rFonts w:hint="eastAsia"/>
        <w:sz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YWI3YTdmOGY0Nzk1NTc3NTE5Y2UzNGZjMjQ4MzEifQ=="/>
  </w:docVars>
  <w:rsids>
    <w:rsidRoot w:val="49A433AB"/>
    <w:rsid w:val="001326E5"/>
    <w:rsid w:val="005E7F70"/>
    <w:rsid w:val="008D1DF7"/>
    <w:rsid w:val="00943BD0"/>
    <w:rsid w:val="00DE42CF"/>
    <w:rsid w:val="00E3179D"/>
    <w:rsid w:val="03DF4380"/>
    <w:rsid w:val="04A62BBB"/>
    <w:rsid w:val="05C25A17"/>
    <w:rsid w:val="0732547F"/>
    <w:rsid w:val="091639FE"/>
    <w:rsid w:val="0A383081"/>
    <w:rsid w:val="0CB768EC"/>
    <w:rsid w:val="0DF273CB"/>
    <w:rsid w:val="12092534"/>
    <w:rsid w:val="14AB4B63"/>
    <w:rsid w:val="14C57DAC"/>
    <w:rsid w:val="175F24CC"/>
    <w:rsid w:val="18CA5F47"/>
    <w:rsid w:val="1C655F63"/>
    <w:rsid w:val="1D0B4D32"/>
    <w:rsid w:val="1F1432F9"/>
    <w:rsid w:val="1F874004"/>
    <w:rsid w:val="21912804"/>
    <w:rsid w:val="2203252A"/>
    <w:rsid w:val="23FB771D"/>
    <w:rsid w:val="256241E3"/>
    <w:rsid w:val="26B33914"/>
    <w:rsid w:val="2AB77F2C"/>
    <w:rsid w:val="2C5C68A2"/>
    <w:rsid w:val="2CA71300"/>
    <w:rsid w:val="2CCE5177"/>
    <w:rsid w:val="2DAA419A"/>
    <w:rsid w:val="2EB1732D"/>
    <w:rsid w:val="2FA07C7B"/>
    <w:rsid w:val="306C7EDC"/>
    <w:rsid w:val="31037602"/>
    <w:rsid w:val="31DD16D7"/>
    <w:rsid w:val="33044A23"/>
    <w:rsid w:val="33481D2C"/>
    <w:rsid w:val="342A7BF8"/>
    <w:rsid w:val="35CE33F2"/>
    <w:rsid w:val="37233D26"/>
    <w:rsid w:val="379941B0"/>
    <w:rsid w:val="38B751E6"/>
    <w:rsid w:val="3A5110B3"/>
    <w:rsid w:val="3B76127A"/>
    <w:rsid w:val="3B8836FD"/>
    <w:rsid w:val="3E977227"/>
    <w:rsid w:val="4085541B"/>
    <w:rsid w:val="43D27788"/>
    <w:rsid w:val="44BF6143"/>
    <w:rsid w:val="45005689"/>
    <w:rsid w:val="45F45819"/>
    <w:rsid w:val="48522424"/>
    <w:rsid w:val="49A433AB"/>
    <w:rsid w:val="4E2E7AE6"/>
    <w:rsid w:val="4F1B4CDC"/>
    <w:rsid w:val="52A21A5E"/>
    <w:rsid w:val="54A2080C"/>
    <w:rsid w:val="5859427A"/>
    <w:rsid w:val="5A3905D4"/>
    <w:rsid w:val="5A9832D3"/>
    <w:rsid w:val="5CBB282E"/>
    <w:rsid w:val="5CF957DF"/>
    <w:rsid w:val="5F2D606E"/>
    <w:rsid w:val="6287108A"/>
    <w:rsid w:val="632E66F1"/>
    <w:rsid w:val="633035B8"/>
    <w:rsid w:val="646351D6"/>
    <w:rsid w:val="65EA3408"/>
    <w:rsid w:val="66326951"/>
    <w:rsid w:val="66FB64B5"/>
    <w:rsid w:val="6817133D"/>
    <w:rsid w:val="690B0E19"/>
    <w:rsid w:val="6D5B4242"/>
    <w:rsid w:val="6EB7229F"/>
    <w:rsid w:val="7022771F"/>
    <w:rsid w:val="7110398E"/>
    <w:rsid w:val="71FC3865"/>
    <w:rsid w:val="72E74B12"/>
    <w:rsid w:val="75467FC9"/>
    <w:rsid w:val="77284D67"/>
    <w:rsid w:val="77C87701"/>
    <w:rsid w:val="780319C5"/>
    <w:rsid w:val="781F0CA8"/>
    <w:rsid w:val="79B10291"/>
    <w:rsid w:val="7ADE78BC"/>
    <w:rsid w:val="7C0769C4"/>
    <w:rsid w:val="7C6C1041"/>
    <w:rsid w:val="7C6D0478"/>
    <w:rsid w:val="7C812EDD"/>
    <w:rsid w:val="7CF10DB4"/>
    <w:rsid w:val="7D66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32"/>
      <w:szCs w:val="20"/>
    </w:rPr>
  </w:style>
  <w:style w:type="paragraph" w:styleId="3">
    <w:name w:val="Body Text"/>
    <w:basedOn w:val="1"/>
    <w:qFormat/>
    <w:uiPriority w:val="0"/>
    <w:pPr>
      <w:spacing w:after="140" w:line="276" w:lineRule="auto"/>
    </w:p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页眉 字符"/>
    <w:basedOn w:val="9"/>
    <w:link w:val="6"/>
    <w:uiPriority w:val="0"/>
    <w:rPr>
      <w:rFonts w:asciiTheme="minorHAnsi" w:hAnsiTheme="minorHAnsi" w:eastAsiaTheme="minorEastAsia" w:cstheme="minorBidi"/>
      <w:kern w:val="2"/>
      <w:sz w:val="18"/>
      <w:szCs w:val="18"/>
    </w:rPr>
  </w:style>
  <w:style w:type="character" w:customStyle="1" w:styleId="12">
    <w:name w:val="页脚 字符"/>
    <w:basedOn w:val="9"/>
    <w:link w:val="5"/>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4812</Words>
  <Characters>4974</Characters>
  <Lines>35</Lines>
  <Paragraphs>10</Paragraphs>
  <TotalTime>2</TotalTime>
  <ScaleCrop>false</ScaleCrop>
  <LinksUpToDate>false</LinksUpToDate>
  <CharactersWithSpaces>4993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2022-05-09T06:50:00Z</dcterms:created>
  <dc:creator>LENOVO</dc:creator>
  <cp:lastModifiedBy>风语江郎</cp:lastModifiedBy>
  <cp:lastPrinted>2022-05-17T09:58:00Z</cp:lastPrinted>
  <dcterms:modified xsi:type="dcterms:W3CDTF">2022-05-19T06:40:27Z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C72033236AD54B4C8CBAA2C67FAE6A51</vt:lpwstr>
  </property>
</Properties>
</file>