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ascii="Times New Roman" w:hAnsi="Times New Roman" w:cs="Times New Roman"/>
          <w:lang w:eastAsia="zh-CN"/>
        </w:rPr>
      </w:pPr>
    </w:p>
    <w:p>
      <w:pPr>
        <w:bidi w:val="0"/>
        <w:rPr>
          <w:rFonts w:hint="default" w:ascii="Times New Roman" w:hAnsi="Times New Roman" w:cs="Times New Roman"/>
          <w:lang w:eastAsia="zh-CN"/>
        </w:rPr>
      </w:pPr>
    </w:p>
    <w:p>
      <w:pPr>
        <w:bidi w:val="0"/>
        <w:rPr>
          <w:rFonts w:hint="default" w:ascii="Times New Roman" w:hAnsi="Times New Roman" w:cs="Times New Roman"/>
          <w:lang w:eastAsia="zh-CN"/>
        </w:rPr>
      </w:pPr>
    </w:p>
    <w:p>
      <w:pPr>
        <w:bidi w:val="0"/>
        <w:jc w:val="center"/>
        <w:rPr>
          <w:rFonts w:hint="eastAsia" w:ascii="黑体" w:hAnsi="黑体" w:eastAsia="黑体" w:cs="黑体"/>
          <w:sz w:val="48"/>
          <w:szCs w:val="48"/>
          <w:lang w:val="en-US" w:eastAsia="zh-CN"/>
        </w:rPr>
      </w:pPr>
      <w:bookmarkStart w:id="0" w:name="_Toc427"/>
      <w:r>
        <w:rPr>
          <w:rFonts w:hint="eastAsia" w:ascii="黑体" w:hAnsi="黑体" w:eastAsia="黑体" w:cs="黑体"/>
          <w:sz w:val="48"/>
          <w:szCs w:val="48"/>
          <w:lang w:val="en-US" w:eastAsia="zh-CN"/>
        </w:rPr>
        <w:t>江山市2021年土地征收成片     开发方案</w:t>
      </w:r>
      <w:bookmarkEnd w:id="0"/>
    </w:p>
    <w:p>
      <w:pPr>
        <w:bidi w:val="0"/>
        <w:ind w:left="0" w:leftChars="0" w:firstLine="0" w:firstLineChars="0"/>
        <w:jc w:val="center"/>
        <w:rPr>
          <w:rFonts w:hint="eastAsia" w:ascii="楷体" w:hAnsi="楷体" w:eastAsia="楷体" w:cs="楷体"/>
          <w:sz w:val="36"/>
          <w:szCs w:val="36"/>
          <w:lang w:val="en-US" w:eastAsia="zh-CN"/>
        </w:rPr>
      </w:pPr>
      <w:r>
        <w:rPr>
          <w:rFonts w:hint="eastAsia" w:ascii="楷体" w:hAnsi="楷体" w:eastAsia="楷体" w:cs="楷体"/>
          <w:sz w:val="36"/>
          <w:szCs w:val="36"/>
          <w:lang w:val="en-US" w:eastAsia="zh-CN"/>
        </w:rPr>
        <w:t>（总体概述）</w:t>
      </w: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eastAsia" w:ascii="Times New Roman" w:hAnsi="Times New Roman" w:eastAsia="楷体" w:cs="Times New Roman"/>
          <w:spacing w:val="-4"/>
          <w:sz w:val="36"/>
          <w:szCs w:val="36"/>
          <w:lang w:val="en-US" w:eastAsia="zh-CN"/>
        </w:rPr>
      </w:pPr>
      <w:r>
        <w:rPr>
          <w:rFonts w:hint="eastAsia" w:ascii="Times New Roman" w:hAnsi="Times New Roman" w:eastAsia="楷体" w:cs="Times New Roman"/>
          <w:spacing w:val="-4"/>
          <w:sz w:val="36"/>
          <w:szCs w:val="36"/>
          <w:lang w:val="en-US" w:eastAsia="zh-CN"/>
        </w:rPr>
        <w:t>征</w:t>
      </w:r>
    </w:p>
    <w:p>
      <w:pPr>
        <w:ind w:left="0" w:leftChars="0" w:firstLine="0" w:firstLineChars="0"/>
        <w:jc w:val="center"/>
        <w:rPr>
          <w:rFonts w:hint="eastAsia" w:ascii="Times New Roman" w:hAnsi="Times New Roman" w:eastAsia="楷体" w:cs="Times New Roman"/>
          <w:spacing w:val="-4"/>
          <w:sz w:val="36"/>
          <w:szCs w:val="36"/>
          <w:lang w:val="en-US" w:eastAsia="zh-CN"/>
        </w:rPr>
      </w:pPr>
      <w:r>
        <w:rPr>
          <w:rFonts w:hint="eastAsia" w:ascii="Times New Roman" w:hAnsi="Times New Roman" w:eastAsia="楷体" w:cs="Times New Roman"/>
          <w:spacing w:val="-4"/>
          <w:sz w:val="36"/>
          <w:szCs w:val="36"/>
          <w:lang w:val="en-US" w:eastAsia="zh-CN"/>
        </w:rPr>
        <w:t>求</w:t>
      </w:r>
    </w:p>
    <w:p>
      <w:pPr>
        <w:ind w:left="0" w:leftChars="0" w:firstLine="0" w:firstLineChars="0"/>
        <w:jc w:val="center"/>
        <w:rPr>
          <w:rFonts w:hint="eastAsia" w:ascii="Times New Roman" w:hAnsi="Times New Roman" w:eastAsia="楷体" w:cs="Times New Roman"/>
          <w:spacing w:val="-4"/>
          <w:sz w:val="36"/>
          <w:szCs w:val="36"/>
          <w:lang w:val="en-US" w:eastAsia="zh-CN"/>
        </w:rPr>
      </w:pPr>
      <w:r>
        <w:rPr>
          <w:rFonts w:hint="eastAsia" w:ascii="Times New Roman" w:hAnsi="Times New Roman" w:eastAsia="楷体" w:cs="Times New Roman"/>
          <w:spacing w:val="-4"/>
          <w:sz w:val="36"/>
          <w:szCs w:val="36"/>
          <w:lang w:val="en-US" w:eastAsia="zh-CN"/>
        </w:rPr>
        <w:t>意</w:t>
      </w:r>
    </w:p>
    <w:p>
      <w:pPr>
        <w:ind w:left="0" w:leftChars="0" w:firstLine="0" w:firstLineChars="0"/>
        <w:jc w:val="center"/>
        <w:rPr>
          <w:rFonts w:hint="eastAsia" w:ascii="Times New Roman" w:hAnsi="Times New Roman" w:eastAsia="楷体" w:cs="Times New Roman"/>
          <w:spacing w:val="-4"/>
          <w:sz w:val="36"/>
          <w:szCs w:val="36"/>
          <w:lang w:val="en-US" w:eastAsia="zh-CN"/>
        </w:rPr>
      </w:pPr>
      <w:r>
        <w:rPr>
          <w:rFonts w:hint="eastAsia" w:ascii="Times New Roman" w:hAnsi="Times New Roman" w:eastAsia="楷体" w:cs="Times New Roman"/>
          <w:spacing w:val="-4"/>
          <w:sz w:val="36"/>
          <w:szCs w:val="36"/>
          <w:lang w:val="en-US" w:eastAsia="zh-CN"/>
        </w:rPr>
        <w:t>见</w:t>
      </w:r>
    </w:p>
    <w:p>
      <w:pPr>
        <w:ind w:left="0" w:leftChars="0" w:firstLine="0" w:firstLineChars="0"/>
        <w:jc w:val="center"/>
        <w:rPr>
          <w:rFonts w:hint="default" w:ascii="Times New Roman" w:hAnsi="Times New Roman" w:eastAsia="楷体" w:cs="Times New Roman"/>
          <w:spacing w:val="-4"/>
          <w:sz w:val="36"/>
          <w:szCs w:val="36"/>
          <w:lang w:val="en-US" w:eastAsia="zh-CN"/>
        </w:rPr>
      </w:pPr>
      <w:r>
        <w:rPr>
          <w:rFonts w:hint="eastAsia" w:ascii="Times New Roman" w:hAnsi="Times New Roman" w:eastAsia="楷体" w:cs="Times New Roman"/>
          <w:spacing w:val="-4"/>
          <w:sz w:val="36"/>
          <w:szCs w:val="36"/>
          <w:lang w:val="en-US" w:eastAsia="zh-CN"/>
        </w:rPr>
        <w:t>版</w:t>
      </w: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both"/>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楷体" w:cs="Times New Roman"/>
          <w:spacing w:val="-4"/>
          <w:sz w:val="36"/>
          <w:szCs w:val="36"/>
          <w:lang w:val="en-US" w:eastAsia="zh-CN"/>
        </w:rPr>
      </w:pPr>
    </w:p>
    <w:p>
      <w:pPr>
        <w:ind w:left="0" w:leftChars="0" w:firstLine="0" w:firstLineChars="0"/>
        <w:jc w:val="center"/>
        <w:rPr>
          <w:rFonts w:hint="default" w:ascii="Times New Roman" w:hAnsi="Times New Roman" w:eastAsia="宋体" w:cs="Times New Roman"/>
          <w:spacing w:val="-4"/>
          <w:sz w:val="32"/>
          <w:szCs w:val="32"/>
          <w:lang w:val="en-US" w:eastAsia="zh-CN"/>
        </w:rPr>
      </w:pPr>
      <w:r>
        <w:rPr>
          <w:rFonts w:hint="default" w:ascii="Times New Roman" w:hAnsi="Times New Roman" w:eastAsia="宋体" w:cs="Times New Roman"/>
          <w:spacing w:val="-4"/>
          <w:sz w:val="32"/>
          <w:szCs w:val="32"/>
          <w:lang w:val="en-US" w:eastAsia="zh-CN"/>
        </w:rPr>
        <w:t>江山市人民政府</w:t>
      </w:r>
    </w:p>
    <w:p>
      <w:pPr>
        <w:ind w:left="0" w:leftChars="0" w:firstLine="0" w:firstLineChars="0"/>
        <w:jc w:val="center"/>
        <w:rPr>
          <w:rFonts w:hint="default" w:ascii="Times New Roman" w:hAnsi="Times New Roman" w:eastAsia="宋体" w:cs="Times New Roman"/>
          <w:spacing w:val="-4"/>
          <w:sz w:val="32"/>
          <w:szCs w:val="32"/>
          <w:lang w:val="en-US" w:eastAsia="zh-CN"/>
        </w:rPr>
      </w:pPr>
      <w:r>
        <w:rPr>
          <w:rFonts w:hint="default" w:ascii="Times New Roman" w:hAnsi="Times New Roman" w:eastAsia="宋体" w:cs="Times New Roman"/>
          <w:spacing w:val="-4"/>
          <w:sz w:val="32"/>
          <w:szCs w:val="32"/>
          <w:lang w:val="en-US" w:eastAsia="zh-CN"/>
        </w:rPr>
        <w:t>2021年</w:t>
      </w:r>
      <w:r>
        <w:rPr>
          <w:rFonts w:hint="eastAsia" w:ascii="Times New Roman" w:hAnsi="Times New Roman" w:eastAsia="宋体" w:cs="Times New Roman"/>
          <w:spacing w:val="-4"/>
          <w:sz w:val="32"/>
          <w:szCs w:val="32"/>
          <w:lang w:val="en-US" w:eastAsia="zh-CN"/>
        </w:rPr>
        <w:t>9</w:t>
      </w:r>
      <w:r>
        <w:rPr>
          <w:rFonts w:hint="default" w:ascii="Times New Roman" w:hAnsi="Times New Roman" w:eastAsia="宋体" w:cs="Times New Roman"/>
          <w:spacing w:val="-4"/>
          <w:sz w:val="32"/>
          <w:szCs w:val="32"/>
          <w:lang w:val="en-US" w:eastAsia="zh-CN"/>
        </w:rPr>
        <w:t>月</w:t>
      </w:r>
    </w:p>
    <w:p>
      <w:pPr>
        <w:rPr>
          <w:rFonts w:hint="default" w:ascii="Times New Roman" w:hAnsi="Times New Roman" w:cs="Times New Roman"/>
        </w:rPr>
      </w:pPr>
      <w:r>
        <w:rPr>
          <w:rFonts w:hint="default" w:ascii="Times New Roman" w:hAnsi="Times New Roman" w:cs="Times New Roman"/>
        </w:rPr>
        <w:br w:type="page"/>
      </w:r>
    </w:p>
    <w:sdt>
      <w:sdtPr>
        <w:rPr>
          <w:rFonts w:ascii="宋体" w:hAnsi="宋体" w:eastAsia="宋体" w:cstheme="minorBidi"/>
          <w:b/>
          <w:bCs/>
          <w:kern w:val="2"/>
          <w:sz w:val="44"/>
          <w:szCs w:val="48"/>
          <w:lang w:val="en-US" w:eastAsia="zh-CN" w:bidi="ar-SA"/>
        </w:rPr>
        <w:id w:val="147460656"/>
        <w15:color w:val="DBDBDB"/>
        <w:docPartObj>
          <w:docPartGallery w:val="Table of Contents"/>
          <w:docPartUnique/>
        </w:docPartObj>
      </w:sdtPr>
      <w:sdtEndPr>
        <w:rPr>
          <w:rFonts w:ascii="宋体" w:hAnsi="宋体" w:eastAsia="宋体" w:cstheme="minorBidi"/>
          <w:b/>
          <w:bCs/>
          <w:kern w:val="2"/>
          <w:sz w:val="44"/>
          <w:szCs w:val="48"/>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44"/>
              <w:szCs w:val="48"/>
            </w:rPr>
          </w:pPr>
          <w:r>
            <w:rPr>
              <w:rFonts w:ascii="宋体" w:hAnsi="宋体" w:eastAsia="宋体"/>
              <w:b/>
              <w:bCs/>
              <w:sz w:val="44"/>
              <w:szCs w:val="48"/>
            </w:rPr>
            <w:t>目</w:t>
          </w:r>
          <w:r>
            <w:rPr>
              <w:rFonts w:hint="eastAsia" w:ascii="宋体" w:hAnsi="宋体" w:eastAsia="宋体"/>
              <w:b/>
              <w:bCs/>
              <w:sz w:val="44"/>
              <w:szCs w:val="48"/>
              <w:lang w:val="en-US" w:eastAsia="zh-CN"/>
            </w:rPr>
            <w:t xml:space="preserve"> </w:t>
          </w:r>
          <w:r>
            <w:rPr>
              <w:rFonts w:ascii="宋体" w:hAnsi="宋体" w:eastAsia="宋体"/>
              <w:b/>
              <w:bCs/>
              <w:sz w:val="44"/>
              <w:szCs w:val="48"/>
            </w:rPr>
            <w:t>录</w:t>
          </w:r>
        </w:p>
        <w:p>
          <w:pPr>
            <w:spacing w:before="0" w:beforeLines="0" w:after="0" w:afterLines="0" w:line="240" w:lineRule="auto"/>
            <w:ind w:left="0" w:leftChars="0" w:right="0" w:rightChars="0" w:firstLine="0" w:firstLineChars="0"/>
            <w:jc w:val="center"/>
            <w:rPr>
              <w:rFonts w:ascii="宋体" w:hAnsi="宋体" w:eastAsia="宋体"/>
              <w:b/>
              <w:bCs/>
              <w:sz w:val="44"/>
              <w:szCs w:val="48"/>
            </w:rPr>
          </w:pPr>
        </w:p>
        <w:p>
          <w:pPr>
            <w:pStyle w:val="10"/>
            <w:tabs>
              <w:tab w:val="right" w:leader="dot" w:pos="8310"/>
            </w:tabs>
          </w:pPr>
          <w:r>
            <w:fldChar w:fldCharType="begin"/>
          </w:r>
          <w:r>
            <w:instrText xml:space="preserve">TOC \o "1-2" \h \u </w:instrText>
          </w:r>
          <w:r>
            <w:fldChar w:fldCharType="separate"/>
          </w:r>
          <w:r>
            <w:rPr>
              <w:b/>
              <w:bCs/>
            </w:rPr>
            <w:fldChar w:fldCharType="begin"/>
          </w:r>
          <w:r>
            <w:rPr>
              <w:b/>
              <w:bCs/>
            </w:rPr>
            <w:instrText xml:space="preserve"> HYPERLINK \l _Toc2113 </w:instrText>
          </w:r>
          <w:r>
            <w:rPr>
              <w:b/>
              <w:bCs/>
            </w:rPr>
            <w:fldChar w:fldCharType="separate"/>
          </w:r>
          <w:r>
            <w:rPr>
              <w:rFonts w:hint="eastAsia"/>
              <w:b/>
              <w:bCs/>
              <w:lang w:val="en-US" w:eastAsia="zh-CN"/>
            </w:rPr>
            <w:t>一、背景与区域概况</w:t>
          </w:r>
          <w:r>
            <w:rPr>
              <w:b/>
              <w:bCs/>
            </w:rPr>
            <w:tab/>
          </w:r>
          <w:r>
            <w:rPr>
              <w:b/>
              <w:bCs/>
            </w:rPr>
            <w:fldChar w:fldCharType="begin"/>
          </w:r>
          <w:r>
            <w:rPr>
              <w:b/>
              <w:bCs/>
            </w:rPr>
            <w:instrText xml:space="preserve"> PAGEREF _Toc2113 \h </w:instrText>
          </w:r>
          <w:r>
            <w:rPr>
              <w:b/>
              <w:bCs/>
            </w:rPr>
            <w:fldChar w:fldCharType="separate"/>
          </w:r>
          <w:r>
            <w:rPr>
              <w:b/>
              <w:bCs/>
            </w:rPr>
            <w:t>3</w:t>
          </w:r>
          <w:r>
            <w:rPr>
              <w:b/>
              <w:bCs/>
            </w:rPr>
            <w:fldChar w:fldCharType="end"/>
          </w:r>
          <w:r>
            <w:rPr>
              <w:b/>
              <w:bCs/>
            </w:rPr>
            <w:fldChar w:fldCharType="end"/>
          </w:r>
        </w:p>
        <w:p>
          <w:pPr>
            <w:pStyle w:val="10"/>
            <w:tabs>
              <w:tab w:val="right" w:leader="dot" w:pos="8310"/>
            </w:tabs>
          </w:pPr>
          <w:r>
            <w:fldChar w:fldCharType="begin"/>
          </w:r>
          <w:r>
            <w:instrText xml:space="preserve"> HYPERLINK \l _Toc11916 </w:instrText>
          </w:r>
          <w:r>
            <w:fldChar w:fldCharType="separate"/>
          </w:r>
          <w:r>
            <w:rPr>
              <w:rFonts w:hint="eastAsia"/>
              <w:lang w:val="en-US" w:eastAsia="zh-CN"/>
            </w:rPr>
            <w:t>（一）</w:t>
          </w:r>
          <w:r>
            <w:rPr>
              <w:rFonts w:hint="default"/>
              <w:lang w:val="en-US" w:eastAsia="zh-CN"/>
            </w:rPr>
            <w:t>背景</w:t>
          </w:r>
          <w:r>
            <w:tab/>
          </w:r>
          <w:r>
            <w:fldChar w:fldCharType="begin"/>
          </w:r>
          <w:r>
            <w:instrText xml:space="preserve"> PAGEREF _Toc11916 \h </w:instrText>
          </w:r>
          <w:r>
            <w:fldChar w:fldCharType="separate"/>
          </w:r>
          <w:r>
            <w:t>3</w:t>
          </w:r>
          <w:r>
            <w:fldChar w:fldCharType="end"/>
          </w:r>
          <w:r>
            <w:fldChar w:fldCharType="end"/>
          </w:r>
        </w:p>
        <w:p>
          <w:pPr>
            <w:pStyle w:val="10"/>
            <w:tabs>
              <w:tab w:val="right" w:leader="dot" w:pos="8310"/>
            </w:tabs>
          </w:pPr>
          <w:r>
            <w:fldChar w:fldCharType="begin"/>
          </w:r>
          <w:r>
            <w:instrText xml:space="preserve"> HYPERLINK \l _Toc9243 </w:instrText>
          </w:r>
          <w:r>
            <w:fldChar w:fldCharType="separate"/>
          </w:r>
          <w:r>
            <w:rPr>
              <w:rFonts w:hint="eastAsia"/>
              <w:lang w:val="en-US" w:eastAsia="zh-CN"/>
            </w:rPr>
            <w:t>（二）</w:t>
          </w:r>
          <w:r>
            <w:rPr>
              <w:rFonts w:hint="default"/>
              <w:lang w:val="en-US" w:eastAsia="zh-CN"/>
            </w:rPr>
            <w:t>编制依据</w:t>
          </w:r>
          <w:r>
            <w:tab/>
          </w:r>
          <w:r>
            <w:fldChar w:fldCharType="begin"/>
          </w:r>
          <w:r>
            <w:instrText xml:space="preserve"> PAGEREF _Toc9243 \h </w:instrText>
          </w:r>
          <w:r>
            <w:fldChar w:fldCharType="separate"/>
          </w:r>
          <w:r>
            <w:t>4</w:t>
          </w:r>
          <w:r>
            <w:fldChar w:fldCharType="end"/>
          </w:r>
          <w:r>
            <w:fldChar w:fldCharType="end"/>
          </w:r>
        </w:p>
        <w:p>
          <w:pPr>
            <w:pStyle w:val="10"/>
            <w:tabs>
              <w:tab w:val="right" w:leader="dot" w:pos="8310"/>
            </w:tabs>
          </w:pPr>
          <w:r>
            <w:fldChar w:fldCharType="begin"/>
          </w:r>
          <w:r>
            <w:instrText xml:space="preserve"> HYPERLINK \l _Toc22990 </w:instrText>
          </w:r>
          <w:r>
            <w:fldChar w:fldCharType="separate"/>
          </w:r>
          <w:r>
            <w:rPr>
              <w:rFonts w:hint="eastAsia"/>
              <w:lang w:eastAsia="zh-CN"/>
            </w:rPr>
            <w:t>（三）</w:t>
          </w:r>
          <w:r>
            <w:rPr>
              <w:rFonts w:hint="default"/>
              <w:lang w:eastAsia="zh-CN"/>
            </w:rPr>
            <w:t>土地节约集约利用水平</w:t>
          </w:r>
          <w:r>
            <w:tab/>
          </w:r>
          <w:r>
            <w:fldChar w:fldCharType="begin"/>
          </w:r>
          <w:r>
            <w:instrText xml:space="preserve"> PAGEREF _Toc22990 \h </w:instrText>
          </w:r>
          <w:r>
            <w:fldChar w:fldCharType="separate"/>
          </w:r>
          <w:r>
            <w:t>7</w:t>
          </w:r>
          <w:r>
            <w:fldChar w:fldCharType="end"/>
          </w:r>
          <w:r>
            <w:fldChar w:fldCharType="end"/>
          </w:r>
        </w:p>
        <w:p>
          <w:pPr>
            <w:pStyle w:val="10"/>
            <w:tabs>
              <w:tab w:val="right" w:leader="dot" w:pos="8310"/>
            </w:tabs>
            <w:rPr>
              <w:b/>
              <w:bCs/>
            </w:rPr>
          </w:pPr>
          <w:r>
            <w:rPr>
              <w:b/>
              <w:bCs/>
            </w:rPr>
            <w:fldChar w:fldCharType="begin"/>
          </w:r>
          <w:r>
            <w:rPr>
              <w:b/>
              <w:bCs/>
            </w:rPr>
            <w:instrText xml:space="preserve"> HYPERLINK \l _Toc18053 </w:instrText>
          </w:r>
          <w:r>
            <w:rPr>
              <w:b/>
              <w:bCs/>
            </w:rPr>
            <w:fldChar w:fldCharType="separate"/>
          </w:r>
          <w:r>
            <w:rPr>
              <w:rFonts w:hint="eastAsia"/>
              <w:b/>
              <w:bCs/>
              <w:lang w:val="en-US" w:eastAsia="zh-CN"/>
            </w:rPr>
            <w:t>二、成片开发土地利用情况</w:t>
          </w:r>
          <w:r>
            <w:rPr>
              <w:b/>
              <w:bCs/>
            </w:rPr>
            <w:tab/>
          </w:r>
          <w:r>
            <w:rPr>
              <w:b/>
              <w:bCs/>
            </w:rPr>
            <w:fldChar w:fldCharType="begin"/>
          </w:r>
          <w:r>
            <w:rPr>
              <w:b/>
              <w:bCs/>
            </w:rPr>
            <w:instrText xml:space="preserve"> PAGEREF _Toc18053 \h </w:instrText>
          </w:r>
          <w:r>
            <w:rPr>
              <w:b/>
              <w:bCs/>
            </w:rPr>
            <w:fldChar w:fldCharType="separate"/>
          </w:r>
          <w:r>
            <w:rPr>
              <w:b/>
              <w:bCs/>
            </w:rPr>
            <w:t>9</w:t>
          </w:r>
          <w:r>
            <w:rPr>
              <w:b/>
              <w:bCs/>
            </w:rPr>
            <w:fldChar w:fldCharType="end"/>
          </w:r>
          <w:r>
            <w:rPr>
              <w:b/>
              <w:bCs/>
            </w:rPr>
            <w:fldChar w:fldCharType="end"/>
          </w:r>
        </w:p>
        <w:p>
          <w:pPr>
            <w:pStyle w:val="10"/>
            <w:tabs>
              <w:tab w:val="right" w:leader="dot" w:pos="8310"/>
            </w:tabs>
          </w:pPr>
          <w:r>
            <w:fldChar w:fldCharType="begin"/>
          </w:r>
          <w:r>
            <w:instrText xml:space="preserve"> HYPERLINK \l _Toc9242 </w:instrText>
          </w:r>
          <w:r>
            <w:fldChar w:fldCharType="separate"/>
          </w:r>
          <w:r>
            <w:rPr>
              <w:rFonts w:hint="eastAsia"/>
              <w:lang w:val="en-US" w:eastAsia="zh-CN"/>
            </w:rPr>
            <w:t>（一）成片开发土地利用情况</w:t>
          </w:r>
          <w:r>
            <w:tab/>
          </w:r>
          <w:r>
            <w:fldChar w:fldCharType="begin"/>
          </w:r>
          <w:r>
            <w:instrText xml:space="preserve"> PAGEREF _Toc9242 \h </w:instrText>
          </w:r>
          <w:r>
            <w:fldChar w:fldCharType="separate"/>
          </w:r>
          <w:r>
            <w:t>9</w:t>
          </w:r>
          <w:r>
            <w:fldChar w:fldCharType="end"/>
          </w:r>
          <w:r>
            <w:fldChar w:fldCharType="end"/>
          </w:r>
        </w:p>
        <w:p>
          <w:pPr>
            <w:pStyle w:val="10"/>
            <w:tabs>
              <w:tab w:val="right" w:leader="dot" w:pos="8310"/>
            </w:tabs>
          </w:pPr>
          <w:r>
            <w:fldChar w:fldCharType="begin"/>
          </w:r>
          <w:r>
            <w:instrText xml:space="preserve"> HYPERLINK \l _Toc30874 </w:instrText>
          </w:r>
          <w:r>
            <w:fldChar w:fldCharType="separate"/>
          </w:r>
          <w:r>
            <w:rPr>
              <w:rFonts w:hint="eastAsia"/>
              <w:lang w:val="en-US" w:eastAsia="zh-CN"/>
            </w:rPr>
            <w:t>（二）“三线”管控要求符合情况</w:t>
          </w:r>
          <w:r>
            <w:tab/>
          </w:r>
          <w:r>
            <w:fldChar w:fldCharType="begin"/>
          </w:r>
          <w:r>
            <w:instrText xml:space="preserve"> PAGEREF _Toc30874 \h </w:instrText>
          </w:r>
          <w:r>
            <w:fldChar w:fldCharType="separate"/>
          </w:r>
          <w:r>
            <w:t>13</w:t>
          </w:r>
          <w:r>
            <w:fldChar w:fldCharType="end"/>
          </w:r>
          <w:r>
            <w:fldChar w:fldCharType="end"/>
          </w:r>
        </w:p>
        <w:p>
          <w:pPr>
            <w:pStyle w:val="10"/>
            <w:tabs>
              <w:tab w:val="right" w:leader="dot" w:pos="8310"/>
            </w:tabs>
          </w:pPr>
          <w:r>
            <w:fldChar w:fldCharType="begin"/>
          </w:r>
          <w:r>
            <w:instrText xml:space="preserve"> HYPERLINK \l _Toc27151 </w:instrText>
          </w:r>
          <w:r>
            <w:fldChar w:fldCharType="separate"/>
          </w:r>
          <w:r>
            <w:rPr>
              <w:rFonts w:hint="eastAsia"/>
              <w:lang w:val="en-US" w:eastAsia="zh-CN"/>
            </w:rPr>
            <w:t>（三）土地征收成片开发效益评估</w:t>
          </w:r>
          <w:r>
            <w:tab/>
          </w:r>
          <w:r>
            <w:fldChar w:fldCharType="begin"/>
          </w:r>
          <w:r>
            <w:instrText xml:space="preserve"> PAGEREF _Toc27151 \h </w:instrText>
          </w:r>
          <w:r>
            <w:fldChar w:fldCharType="separate"/>
          </w:r>
          <w:r>
            <w:t>13</w:t>
          </w:r>
          <w:r>
            <w:fldChar w:fldCharType="end"/>
          </w:r>
          <w:r>
            <w:fldChar w:fldCharType="end"/>
          </w:r>
        </w:p>
        <w:p>
          <w:pPr>
            <w:pStyle w:val="10"/>
            <w:tabs>
              <w:tab w:val="right" w:leader="dot" w:pos="8310"/>
            </w:tabs>
            <w:rPr>
              <w:b/>
              <w:bCs/>
            </w:rPr>
          </w:pPr>
          <w:r>
            <w:rPr>
              <w:b/>
              <w:bCs/>
            </w:rPr>
            <w:fldChar w:fldCharType="begin"/>
          </w:r>
          <w:r>
            <w:rPr>
              <w:b/>
              <w:bCs/>
            </w:rPr>
            <w:instrText xml:space="preserve"> HYPERLINK \l _Toc25790 </w:instrText>
          </w:r>
          <w:r>
            <w:rPr>
              <w:b/>
              <w:bCs/>
            </w:rPr>
            <w:fldChar w:fldCharType="separate"/>
          </w:r>
          <w:r>
            <w:rPr>
              <w:rFonts w:hint="eastAsia"/>
              <w:b/>
              <w:bCs/>
              <w:lang w:val="en-US" w:eastAsia="zh-CN"/>
            </w:rPr>
            <w:t>三、已批准方案实施情况</w:t>
          </w:r>
          <w:r>
            <w:rPr>
              <w:b/>
              <w:bCs/>
            </w:rPr>
            <w:tab/>
          </w:r>
          <w:r>
            <w:rPr>
              <w:b/>
              <w:bCs/>
            </w:rPr>
            <w:fldChar w:fldCharType="begin"/>
          </w:r>
          <w:r>
            <w:rPr>
              <w:b/>
              <w:bCs/>
            </w:rPr>
            <w:instrText xml:space="preserve"> PAGEREF _Toc25790 \h </w:instrText>
          </w:r>
          <w:r>
            <w:rPr>
              <w:b/>
              <w:bCs/>
            </w:rPr>
            <w:fldChar w:fldCharType="separate"/>
          </w:r>
          <w:r>
            <w:rPr>
              <w:b/>
              <w:bCs/>
            </w:rPr>
            <w:t>15</w:t>
          </w:r>
          <w:r>
            <w:rPr>
              <w:b/>
              <w:bCs/>
            </w:rPr>
            <w:fldChar w:fldCharType="end"/>
          </w:r>
          <w:r>
            <w:rPr>
              <w:b/>
              <w:bCs/>
            </w:rPr>
            <w:fldChar w:fldCharType="end"/>
          </w:r>
        </w:p>
        <w:p>
          <w:pPr>
            <w:pStyle w:val="10"/>
            <w:tabs>
              <w:tab w:val="right" w:leader="dot" w:pos="8310"/>
            </w:tabs>
            <w:rPr>
              <w:b/>
              <w:bCs/>
            </w:rPr>
          </w:pPr>
          <w:r>
            <w:rPr>
              <w:b/>
              <w:bCs/>
            </w:rPr>
            <w:fldChar w:fldCharType="begin"/>
          </w:r>
          <w:r>
            <w:rPr>
              <w:b/>
              <w:bCs/>
            </w:rPr>
            <w:instrText xml:space="preserve"> HYPERLINK \l _Toc29626 </w:instrText>
          </w:r>
          <w:r>
            <w:rPr>
              <w:b/>
              <w:bCs/>
            </w:rPr>
            <w:fldChar w:fldCharType="separate"/>
          </w:r>
          <w:r>
            <w:rPr>
              <w:rFonts w:hint="eastAsia"/>
              <w:b/>
              <w:bCs/>
              <w:lang w:val="en-US" w:eastAsia="zh-CN"/>
            </w:rPr>
            <w:t>四、承诺纳入土地征收成片开发方案的事项</w:t>
          </w:r>
          <w:r>
            <w:rPr>
              <w:b/>
              <w:bCs/>
            </w:rPr>
            <w:tab/>
          </w:r>
          <w:r>
            <w:rPr>
              <w:b/>
              <w:bCs/>
            </w:rPr>
            <w:fldChar w:fldCharType="begin"/>
          </w:r>
          <w:r>
            <w:rPr>
              <w:b/>
              <w:bCs/>
            </w:rPr>
            <w:instrText xml:space="preserve"> PAGEREF _Toc29626 \h </w:instrText>
          </w:r>
          <w:r>
            <w:rPr>
              <w:b/>
              <w:bCs/>
            </w:rPr>
            <w:fldChar w:fldCharType="separate"/>
          </w:r>
          <w:r>
            <w:rPr>
              <w:b/>
              <w:bCs/>
            </w:rPr>
            <w:t>15</w:t>
          </w:r>
          <w:r>
            <w:rPr>
              <w:b/>
              <w:bCs/>
            </w:rPr>
            <w:fldChar w:fldCharType="end"/>
          </w:r>
          <w:r>
            <w:rPr>
              <w:b/>
              <w:bCs/>
            </w:rPr>
            <w:fldChar w:fldCharType="end"/>
          </w:r>
        </w:p>
        <w:p>
          <w:pPr>
            <w:pStyle w:val="10"/>
            <w:tabs>
              <w:tab w:val="right" w:leader="dot" w:pos="8310"/>
            </w:tabs>
            <w:rPr>
              <w:b/>
              <w:bCs/>
            </w:rPr>
          </w:pPr>
          <w:r>
            <w:rPr>
              <w:b/>
              <w:bCs/>
            </w:rPr>
            <w:fldChar w:fldCharType="begin"/>
          </w:r>
          <w:r>
            <w:rPr>
              <w:b/>
              <w:bCs/>
            </w:rPr>
            <w:instrText xml:space="preserve"> HYPERLINK \l _Toc17693 </w:instrText>
          </w:r>
          <w:r>
            <w:rPr>
              <w:b/>
              <w:bCs/>
            </w:rPr>
            <w:fldChar w:fldCharType="separate"/>
          </w:r>
          <w:r>
            <w:rPr>
              <w:rFonts w:hint="eastAsia"/>
              <w:b/>
              <w:bCs/>
              <w:lang w:val="en-US" w:eastAsia="zh-CN"/>
            </w:rPr>
            <w:t>五、</w:t>
          </w:r>
          <w:r>
            <w:rPr>
              <w:rFonts w:hint="default"/>
              <w:b/>
              <w:bCs/>
              <w:lang w:val="en-US" w:eastAsia="zh-CN"/>
            </w:rPr>
            <w:t>附表</w:t>
          </w:r>
          <w:r>
            <w:rPr>
              <w:b/>
              <w:bCs/>
            </w:rPr>
            <w:tab/>
          </w:r>
          <w:r>
            <w:rPr>
              <w:b/>
              <w:bCs/>
            </w:rPr>
            <w:fldChar w:fldCharType="begin"/>
          </w:r>
          <w:r>
            <w:rPr>
              <w:b/>
              <w:bCs/>
            </w:rPr>
            <w:instrText xml:space="preserve"> PAGEREF _Toc17693 \h </w:instrText>
          </w:r>
          <w:r>
            <w:rPr>
              <w:b/>
              <w:bCs/>
            </w:rPr>
            <w:fldChar w:fldCharType="separate"/>
          </w:r>
          <w:r>
            <w:rPr>
              <w:b/>
              <w:bCs/>
            </w:rPr>
            <w:t>16</w:t>
          </w:r>
          <w:r>
            <w:rPr>
              <w:b/>
              <w:bCs/>
            </w:rPr>
            <w:fldChar w:fldCharType="end"/>
          </w:r>
          <w:r>
            <w:rPr>
              <w:b/>
              <w:bCs/>
            </w:rPr>
            <w:fldChar w:fldCharType="end"/>
          </w:r>
        </w:p>
        <w:p>
          <w:pPr>
            <w:pStyle w:val="10"/>
            <w:tabs>
              <w:tab w:val="right" w:leader="dot" w:pos="8310"/>
            </w:tabs>
          </w:pPr>
          <w:r>
            <w:rPr>
              <w:b/>
              <w:bCs/>
            </w:rPr>
            <w:fldChar w:fldCharType="begin"/>
          </w:r>
          <w:r>
            <w:rPr>
              <w:b/>
              <w:bCs/>
            </w:rPr>
            <w:instrText xml:space="preserve"> HYPERLINK \l _Toc9119 </w:instrText>
          </w:r>
          <w:r>
            <w:rPr>
              <w:b/>
              <w:bCs/>
            </w:rPr>
            <w:fldChar w:fldCharType="separate"/>
          </w:r>
          <w:r>
            <w:rPr>
              <w:rFonts w:hint="eastAsia"/>
              <w:b/>
              <w:bCs/>
              <w:lang w:val="en-US" w:eastAsia="zh-CN"/>
            </w:rPr>
            <w:t>六、</w:t>
          </w:r>
          <w:r>
            <w:rPr>
              <w:rFonts w:hint="default"/>
              <w:b/>
              <w:bCs/>
              <w:lang w:val="en-US" w:eastAsia="zh-CN"/>
            </w:rPr>
            <w:t>附图</w:t>
          </w:r>
          <w:r>
            <w:rPr>
              <w:b/>
              <w:bCs/>
            </w:rPr>
            <w:tab/>
          </w:r>
          <w:r>
            <w:rPr>
              <w:b/>
              <w:bCs/>
            </w:rPr>
            <w:fldChar w:fldCharType="begin"/>
          </w:r>
          <w:r>
            <w:rPr>
              <w:b/>
              <w:bCs/>
            </w:rPr>
            <w:instrText xml:space="preserve"> PAGEREF _Toc9119 \h </w:instrText>
          </w:r>
          <w:r>
            <w:rPr>
              <w:b/>
              <w:bCs/>
            </w:rPr>
            <w:fldChar w:fldCharType="separate"/>
          </w:r>
          <w:r>
            <w:rPr>
              <w:b/>
              <w:bCs/>
            </w:rPr>
            <w:t>24</w:t>
          </w:r>
          <w:r>
            <w:rPr>
              <w:b/>
              <w:bCs/>
            </w:rPr>
            <w:fldChar w:fldCharType="end"/>
          </w:r>
          <w:r>
            <w:rPr>
              <w:b/>
              <w:bCs/>
            </w:rPr>
            <w:fldChar w:fldCharType="end"/>
          </w:r>
        </w:p>
        <w:p>
          <w:r>
            <w:fldChar w:fldCharType="end"/>
          </w:r>
        </w:p>
      </w:sdtContent>
    </w:sdt>
    <w:p>
      <w:pPr>
        <w:rPr>
          <w:rFonts w:hint="eastAsia"/>
          <w:lang w:val="en-US" w:eastAsia="zh-CN"/>
        </w:rPr>
      </w:pPr>
      <w:r>
        <w:rPr>
          <w:rFonts w:hint="eastAsia"/>
          <w:lang w:val="en-US" w:eastAsia="zh-CN"/>
        </w:rPr>
        <w:br w:type="page"/>
      </w:r>
    </w:p>
    <w:p>
      <w:pPr>
        <w:pStyle w:val="3"/>
        <w:bidi w:val="0"/>
        <w:outlineLvl w:val="0"/>
        <w:rPr>
          <w:rFonts w:hint="default"/>
          <w:lang w:val="en-US" w:eastAsia="zh-CN"/>
        </w:rPr>
      </w:pPr>
      <w:bookmarkStart w:id="1" w:name="_Toc2113"/>
      <w:r>
        <w:rPr>
          <w:rFonts w:hint="eastAsia"/>
          <w:lang w:val="en-US" w:eastAsia="zh-CN"/>
        </w:rPr>
        <w:t>一、背景与区域概况</w:t>
      </w:r>
      <w:bookmarkEnd w:id="1"/>
    </w:p>
    <w:p>
      <w:pPr>
        <w:pStyle w:val="4"/>
        <w:bidi w:val="0"/>
        <w:outlineLvl w:val="1"/>
        <w:rPr>
          <w:rFonts w:hint="default"/>
          <w:lang w:val="en-US" w:eastAsia="zh-CN"/>
        </w:rPr>
      </w:pPr>
      <w:bookmarkStart w:id="2" w:name="_Toc11916"/>
      <w:r>
        <w:rPr>
          <w:rFonts w:hint="eastAsia"/>
          <w:lang w:val="en-US" w:eastAsia="zh-CN"/>
        </w:rPr>
        <w:t>（一）</w:t>
      </w:r>
      <w:r>
        <w:rPr>
          <w:rFonts w:hint="default"/>
          <w:lang w:val="en-US" w:eastAsia="zh-CN"/>
        </w:rPr>
        <w:t>背景</w:t>
      </w:r>
      <w:bookmarkEnd w:id="2"/>
    </w:p>
    <w:p>
      <w:pPr>
        <w:pStyle w:val="5"/>
        <w:bidi w:val="0"/>
        <w:rPr>
          <w:rFonts w:hint="default"/>
          <w:b/>
          <w:bCs/>
          <w:lang w:val="en-US" w:eastAsia="zh-CN"/>
        </w:rPr>
      </w:pPr>
      <w:r>
        <w:rPr>
          <w:rFonts w:hint="eastAsia"/>
          <w:b/>
          <w:bCs/>
          <w:lang w:val="en-US" w:eastAsia="zh-CN"/>
        </w:rPr>
        <w:t>1、区域概况</w:t>
      </w:r>
    </w:p>
    <w:p>
      <w:pPr>
        <w:bidi w:val="0"/>
        <w:rPr>
          <w:rFonts w:hint="default" w:ascii="Times New Roman" w:hAnsi="Times New Roman" w:cs="Times New Roman"/>
          <w:lang w:eastAsia="zh-CN"/>
        </w:rPr>
      </w:pPr>
      <w:r>
        <w:rPr>
          <w:rFonts w:hint="default" w:ascii="Times New Roman" w:hAnsi="Times New Roman" w:cs="Times New Roman"/>
          <w:lang w:val="en-US" w:eastAsia="zh-CN"/>
        </w:rPr>
        <w:t>江山市</w:t>
      </w:r>
      <w:r>
        <w:rPr>
          <w:rFonts w:hint="default" w:ascii="Times New Roman" w:hAnsi="Times New Roman" w:cs="Times New Roman"/>
        </w:rPr>
        <w:t>位于浙闽赣三省交界处，是浙江省的西南门户和</w:t>
      </w:r>
      <w:r>
        <w:rPr>
          <w:rFonts w:hint="default" w:ascii="Times New Roman" w:hAnsi="Times New Roman" w:cs="Times New Roman"/>
        </w:rPr>
        <w:fldChar w:fldCharType="begin"/>
      </w:r>
      <w:r>
        <w:rPr>
          <w:rFonts w:hint="default" w:ascii="Times New Roman" w:hAnsi="Times New Roman" w:cs="Times New Roman"/>
        </w:rPr>
        <w:instrText xml:space="preserve"> HYPERLINK "https://baike.baidu.com/item/%E9%92%B1%E5%A1%98%E6%B1%9F/389131" \t "https://baike.baidu.com/item/%E6%B1%9F%E5%B1%B1/_blank" </w:instrText>
      </w:r>
      <w:r>
        <w:rPr>
          <w:rFonts w:hint="default" w:ascii="Times New Roman" w:hAnsi="Times New Roman" w:cs="Times New Roman"/>
        </w:rPr>
        <w:fldChar w:fldCharType="separate"/>
      </w:r>
      <w:r>
        <w:rPr>
          <w:rFonts w:hint="default" w:ascii="Times New Roman" w:hAnsi="Times New Roman" w:cs="Times New Roman"/>
        </w:rPr>
        <w:t>钱塘江</w:t>
      </w:r>
      <w:r>
        <w:rPr>
          <w:rFonts w:hint="default" w:ascii="Times New Roman" w:hAnsi="Times New Roman" w:cs="Times New Roman"/>
        </w:rPr>
        <w:fldChar w:fldCharType="end"/>
      </w:r>
      <w:r>
        <w:rPr>
          <w:rFonts w:hint="default" w:ascii="Times New Roman" w:hAnsi="Times New Roman" w:cs="Times New Roman"/>
        </w:rPr>
        <w:t>源头之一。</w:t>
      </w:r>
      <w:r>
        <w:rPr>
          <w:rFonts w:hint="default" w:ascii="Times New Roman" w:hAnsi="Times New Roman" w:cs="Times New Roman"/>
          <w:lang w:val="en-US" w:eastAsia="zh-CN"/>
        </w:rPr>
        <w:t>在“十三五”期间，</w:t>
      </w:r>
      <w:r>
        <w:rPr>
          <w:rFonts w:hint="default" w:ascii="Times New Roman" w:hAnsi="Times New Roman" w:cs="Times New Roman"/>
        </w:rPr>
        <w:t>江山围绕“打造活力城市，建设幸福江山”的总体目标定位，大力推进“两轮驱动”“融衢接杭”战略举措，全力建设江山“大花园”，综合实力、产业转型、区域合作、生态环境、人民生活、城乡面貌等方面都取得了显著成效</w:t>
      </w:r>
      <w:r>
        <w:rPr>
          <w:rFonts w:hint="default" w:ascii="Times New Roman" w:hAnsi="Times New Roman" w:cs="Times New Roman"/>
          <w:lang w:eastAsia="zh-CN"/>
        </w:rPr>
        <w:t>。</w:t>
      </w:r>
    </w:p>
    <w:p>
      <w:pPr>
        <w:pStyle w:val="5"/>
        <w:bidi w:val="0"/>
        <w:rPr>
          <w:rFonts w:hint="default"/>
          <w:b/>
          <w:bCs/>
          <w:lang w:val="en-US" w:eastAsia="zh-CN"/>
        </w:rPr>
      </w:pPr>
      <w:r>
        <w:rPr>
          <w:rFonts w:hint="eastAsia"/>
          <w:b/>
          <w:bCs/>
          <w:lang w:val="en-US" w:eastAsia="zh-CN"/>
        </w:rPr>
        <w:t>2、经济社会发展情况</w:t>
      </w:r>
    </w:p>
    <w:p>
      <w:pPr>
        <w:bidi w:val="0"/>
        <w:rPr>
          <w:rFonts w:hint="default" w:ascii="Times New Roman" w:hAnsi="Times New Roman" w:eastAsia="仿宋_GB2312" w:cs="Times New Roman"/>
          <w:szCs w:val="32"/>
        </w:rPr>
      </w:pPr>
      <w:r>
        <w:rPr>
          <w:rFonts w:hint="default" w:ascii="Times New Roman" w:hAnsi="Times New Roman" w:cs="Times New Roman"/>
          <w:lang w:val="en-US" w:eastAsia="zh-CN"/>
        </w:rPr>
        <w:t>经济社会持续稳定发展，稳中有进，进中向好。</w:t>
      </w:r>
      <w:r>
        <w:rPr>
          <w:rFonts w:hint="default" w:ascii="Times New Roman" w:hAnsi="Times New Roman" w:cs="Times New Roman"/>
        </w:rPr>
        <w:t>“十三五”</w:t>
      </w:r>
      <w:r>
        <w:rPr>
          <w:rFonts w:hint="default" w:ascii="Times New Roman" w:hAnsi="Times New Roman" w:cs="Times New Roman"/>
          <w:lang w:val="en-US" w:eastAsia="zh-CN"/>
        </w:rPr>
        <w:t>期间</w:t>
      </w:r>
      <w:r>
        <w:rPr>
          <w:rFonts w:hint="default" w:ascii="Times New Roman" w:hAnsi="Times New Roman" w:cs="Times New Roman"/>
        </w:rPr>
        <w:t>，</w:t>
      </w:r>
      <w:r>
        <w:rPr>
          <w:rFonts w:hint="default" w:ascii="Times New Roman" w:hAnsi="Times New Roman" w:cs="Times New Roman"/>
          <w:lang w:val="en-US" w:eastAsia="zh-CN"/>
        </w:rPr>
        <w:t>江山市</w:t>
      </w:r>
      <w:r>
        <w:rPr>
          <w:rFonts w:hint="default" w:ascii="Times New Roman" w:hAnsi="Times New Roman" w:cs="Times New Roman"/>
        </w:rPr>
        <w:t>经济社会发展取得突破性成果，与全省同步高水平全面建成小康社会，综合实力再上新台阶，全市生产总值迈入300亿元新台阶，实现年均增长7.5%，在全省90个县市区年均增速中位列第42位。人均生产总值超过6万元，财政收入年均增长7.3％，其中一般公共预算收入年均增长6.5％。产业结构进一步优</w:t>
      </w:r>
      <w:r>
        <w:rPr>
          <w:rFonts w:hint="default" w:ascii="Times New Roman" w:hAnsi="Times New Roman" w:eastAsia="仿宋_GB2312" w:cs="Times New Roman"/>
          <w:szCs w:val="32"/>
        </w:rPr>
        <w:t>化，三次产业结构调整为7.4：44.9：47.7。</w:t>
      </w:r>
    </w:p>
    <w:p>
      <w:pPr>
        <w:bidi w:val="0"/>
        <w:rPr>
          <w:rFonts w:hint="default" w:ascii="Times New Roman" w:hAnsi="Times New Roman" w:cs="Times New Roman"/>
        </w:rPr>
      </w:pPr>
      <w:r>
        <w:rPr>
          <w:rFonts w:hint="default" w:ascii="Times New Roman" w:hAnsi="Times New Roman" w:cs="Times New Roman"/>
          <w:lang w:val="en-US" w:eastAsia="zh-CN"/>
        </w:rPr>
        <w:t>以2020年度初步统计数据来看，</w:t>
      </w:r>
      <w:r>
        <w:rPr>
          <w:rFonts w:hint="default" w:ascii="Times New Roman" w:hAnsi="Times New Roman" w:cs="Times New Roman"/>
        </w:rPr>
        <w:t>2020年全市生产总值312.64亿元，按可比价格计算，比上年增长1.6%。其中，第一产业增加值23.98亿元，增长0.4%；第二产业增加值136.43亿元，增长0.7%；第三产业增加值152.23亿元，增长2.6%，其中，批发和零售业增长2.7%，房地产业与2019年持平，金融业增长6.1%，营利性服务业增长1.8%，非营利性服务业增长2.8%。三次产业增加值结构为7.7：43.6：48.7。全市人均生产总值</w:t>
      </w:r>
      <w:r>
        <w:rPr>
          <w:rFonts w:hint="default" w:ascii="Times New Roman" w:hAnsi="Times New Roman" w:cs="Times New Roman"/>
          <w:lang w:eastAsia="zh-CN"/>
        </w:rPr>
        <w:t>（</w:t>
      </w:r>
      <w:r>
        <w:rPr>
          <w:rFonts w:hint="default" w:ascii="Times New Roman" w:hAnsi="Times New Roman" w:cs="Times New Roman"/>
        </w:rPr>
        <w:t>按户籍人口计算</w:t>
      </w:r>
      <w:r>
        <w:rPr>
          <w:rFonts w:hint="default" w:ascii="Times New Roman" w:hAnsi="Times New Roman" w:cs="Times New Roman"/>
          <w:lang w:eastAsia="zh-CN"/>
        </w:rPr>
        <w:t>）</w:t>
      </w:r>
      <w:r>
        <w:rPr>
          <w:rFonts w:hint="default" w:ascii="Times New Roman" w:hAnsi="Times New Roman" w:cs="Times New Roman"/>
        </w:rPr>
        <w:t>50885元，比2019年增长1.8%。</w:t>
      </w:r>
    </w:p>
    <w:p>
      <w:pPr>
        <w:pStyle w:val="5"/>
        <w:bidi w:val="0"/>
        <w:rPr>
          <w:rFonts w:hint="default"/>
          <w:b/>
          <w:bCs/>
          <w:lang w:val="en-US" w:eastAsia="zh-CN"/>
        </w:rPr>
      </w:pPr>
      <w:r>
        <w:rPr>
          <w:rFonts w:hint="eastAsia"/>
          <w:b/>
          <w:bCs/>
          <w:lang w:val="en-US" w:eastAsia="zh-CN"/>
        </w:rPr>
        <w:t>3、资源禀赋条件</w:t>
      </w:r>
    </w:p>
    <w:p>
      <w:pPr>
        <w:pStyle w:val="6"/>
        <w:bidi w:val="0"/>
        <w:rPr>
          <w:rFonts w:hint="default"/>
          <w:lang w:val="en-US" w:eastAsia="zh-CN"/>
        </w:rPr>
      </w:pPr>
      <w:r>
        <w:rPr>
          <w:rFonts w:hint="eastAsia"/>
          <w:lang w:val="en-US" w:eastAsia="zh-CN"/>
        </w:rPr>
        <w:t>（1）自然资源</w:t>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江山市地处浙江西南部、衢州市西南部，地貌类型多样，以山地丘陵为主，素有“七山一水二分田”之称。仙霞岭是江山市的主要山脉，斜贯市域的东南部，怀玉山支脉盘亘西北，整体地势东南高西北低；江山港江是钱塘江的上游支流，是江山市的主要水系，东南至西北向贯穿市域，串联碗窑、峡口、白水坑等多处水库</w:t>
      </w:r>
      <w:r>
        <w:rPr>
          <w:rFonts w:hint="eastAsia" w:ascii="Times New Roman" w:hAnsi="Times New Roman" w:cs="Times New Roman"/>
          <w:lang w:val="en-US" w:eastAsia="zh-CN"/>
        </w:rPr>
        <w:t>，整体形成山水相融的自然空间</w:t>
      </w:r>
      <w:r>
        <w:rPr>
          <w:rFonts w:hint="default" w:ascii="Times New Roman" w:hAnsi="Times New Roman" w:cs="Times New Roman"/>
          <w:lang w:val="en-US" w:eastAsia="zh-CN"/>
        </w:rPr>
        <w:t>。</w:t>
      </w:r>
    </w:p>
    <w:p>
      <w:pPr>
        <w:pStyle w:val="6"/>
        <w:numPr>
          <w:ilvl w:val="0"/>
          <w:numId w:val="1"/>
        </w:numPr>
        <w:bidi w:val="0"/>
        <w:rPr>
          <w:rFonts w:hint="eastAsia"/>
          <w:lang w:val="en-US" w:eastAsia="zh-CN"/>
        </w:rPr>
      </w:pPr>
      <w:r>
        <w:rPr>
          <w:rFonts w:hint="eastAsia"/>
          <w:lang w:val="en-US" w:eastAsia="zh-CN"/>
        </w:rPr>
        <w:t>气候特征</w:t>
      </w:r>
    </w:p>
    <w:p>
      <w:pPr>
        <w:bidi w:val="0"/>
        <w:rPr>
          <w:rFonts w:hint="default"/>
          <w:lang w:val="en-US" w:eastAsia="zh-CN"/>
        </w:rPr>
      </w:pPr>
      <w:r>
        <w:rPr>
          <w:rFonts w:hint="eastAsia"/>
        </w:rPr>
        <w:t>江山市地处中亚热带北部湿润季风气候区，受地形影响，兼有盆地气候的某些特点，冬夏季风交替明显，四季冷暖干湿分明，光照充足，降雨充沛，雨热同期。多年平均气温为17.0℃，无霜期为249.7天左右，因地形影响，市域内雨热水平差异较大，立体气候明显，中北部海拔250米以下河谷丘陵和平坂，年平均气温在17℃以上。南部中、低山地，年平均气温不足17℃。1月平均气温海拔200米以下的河谷地区在5℃以上。</w:t>
      </w:r>
    </w:p>
    <w:p>
      <w:pPr>
        <w:pStyle w:val="4"/>
        <w:numPr>
          <w:ilvl w:val="0"/>
          <w:numId w:val="2"/>
        </w:numPr>
        <w:bidi w:val="0"/>
        <w:ind w:left="-280" w:leftChars="0" w:firstLineChars="0"/>
        <w:outlineLvl w:val="1"/>
        <w:rPr>
          <w:rFonts w:hint="default"/>
          <w:lang w:val="en-US" w:eastAsia="zh-CN"/>
        </w:rPr>
      </w:pPr>
      <w:bookmarkStart w:id="3" w:name="_Toc9243"/>
      <w:r>
        <w:rPr>
          <w:rFonts w:hint="default"/>
          <w:lang w:val="en-US" w:eastAsia="zh-CN"/>
        </w:rPr>
        <w:t>编制依据</w:t>
      </w:r>
      <w:bookmarkEnd w:id="3"/>
    </w:p>
    <w:p>
      <w:pPr>
        <w:pStyle w:val="5"/>
        <w:numPr>
          <w:ilvl w:val="0"/>
          <w:numId w:val="3"/>
        </w:numPr>
        <w:bidi w:val="0"/>
        <w:ind w:left="-280" w:leftChars="0" w:firstLineChars="0"/>
        <w:rPr>
          <w:rFonts w:hint="eastAsia"/>
          <w:lang w:val="en-US" w:eastAsia="zh-CN"/>
        </w:rPr>
      </w:pPr>
      <w:r>
        <w:rPr>
          <w:rFonts w:hint="eastAsia"/>
          <w:lang w:val="en-US" w:eastAsia="zh-CN"/>
        </w:rPr>
        <w:t>法律法规</w:t>
      </w:r>
    </w:p>
    <w:p>
      <w:pPr>
        <w:numPr>
          <w:ilvl w:val="0"/>
          <w:numId w:val="4"/>
        </w:numPr>
        <w:rPr>
          <w:rFonts w:hint="eastAsia"/>
          <w:lang w:val="en-US" w:eastAsia="zh-CN"/>
        </w:rPr>
      </w:pPr>
      <w:r>
        <w:rPr>
          <w:rFonts w:hint="eastAsia"/>
          <w:lang w:val="en-US" w:eastAsia="zh-CN"/>
        </w:rPr>
        <w:t>《中华人民共和国土地管理法》（2019年修正）；</w:t>
      </w:r>
    </w:p>
    <w:p>
      <w:pPr>
        <w:numPr>
          <w:ilvl w:val="0"/>
          <w:numId w:val="4"/>
        </w:numPr>
        <w:rPr>
          <w:rFonts w:hint="eastAsia"/>
          <w:lang w:val="en-US" w:eastAsia="zh-CN"/>
        </w:rPr>
      </w:pPr>
      <w:r>
        <w:rPr>
          <w:rFonts w:hint="eastAsia"/>
          <w:lang w:val="en-US" w:eastAsia="zh-CN"/>
        </w:rPr>
        <w:t>《中华人民共和国城市</w:t>
      </w:r>
      <w:bookmarkStart w:id="13" w:name="_GoBack"/>
      <w:bookmarkEnd w:id="13"/>
      <w:r>
        <w:rPr>
          <w:rFonts w:hint="eastAsia"/>
          <w:lang w:val="en-US" w:eastAsia="zh-CN"/>
        </w:rPr>
        <w:t>房地产管理法》（2019年修正）；</w:t>
      </w:r>
    </w:p>
    <w:p>
      <w:pPr>
        <w:numPr>
          <w:ilvl w:val="0"/>
          <w:numId w:val="4"/>
        </w:numPr>
        <w:rPr>
          <w:rFonts w:hint="eastAsia"/>
          <w:lang w:val="en-US" w:eastAsia="zh-CN"/>
        </w:rPr>
      </w:pPr>
      <w:r>
        <w:rPr>
          <w:rFonts w:hint="eastAsia"/>
          <w:lang w:val="en-US" w:eastAsia="zh-CN"/>
        </w:rPr>
        <w:t>《中华人民共和国城乡规划法》（2019年修正）；</w:t>
      </w:r>
    </w:p>
    <w:p>
      <w:pPr>
        <w:numPr>
          <w:ilvl w:val="0"/>
          <w:numId w:val="4"/>
        </w:numPr>
        <w:rPr>
          <w:rFonts w:hint="eastAsia"/>
          <w:lang w:val="en-US" w:eastAsia="zh-CN"/>
        </w:rPr>
      </w:pPr>
      <w:r>
        <w:rPr>
          <w:rFonts w:hint="eastAsia"/>
          <w:lang w:val="en-US" w:eastAsia="zh-CN"/>
        </w:rPr>
        <w:t>《中华人民共和国环境保护法》（2014年4月修正）；</w:t>
      </w:r>
    </w:p>
    <w:p>
      <w:pPr>
        <w:numPr>
          <w:ilvl w:val="0"/>
          <w:numId w:val="4"/>
        </w:numPr>
        <w:rPr>
          <w:rFonts w:hint="eastAsia"/>
          <w:lang w:val="en-US" w:eastAsia="zh-CN"/>
        </w:rPr>
      </w:pPr>
      <w:r>
        <w:rPr>
          <w:rFonts w:hint="eastAsia"/>
          <w:lang w:val="en-US" w:eastAsia="zh-CN"/>
        </w:rPr>
        <w:t>《基本农田保护条例》（2011年1月修订）等。</w:t>
      </w:r>
    </w:p>
    <w:p>
      <w:pPr>
        <w:pStyle w:val="5"/>
        <w:numPr>
          <w:ilvl w:val="0"/>
          <w:numId w:val="3"/>
        </w:numPr>
        <w:bidi w:val="0"/>
        <w:ind w:left="-280" w:leftChars="0" w:firstLineChars="0"/>
        <w:rPr>
          <w:rFonts w:hint="default" w:ascii="Times New Roman" w:hAnsi="Times New Roman" w:cs="Times New Roman"/>
          <w:lang w:val="zh-CN" w:eastAsia="zh-CN"/>
        </w:rPr>
      </w:pPr>
      <w:r>
        <w:rPr>
          <w:rFonts w:hint="eastAsia"/>
          <w:lang w:val="en-US" w:eastAsia="zh-CN"/>
        </w:rPr>
        <w:t>规范性文件及技术标准</w:t>
      </w:r>
    </w:p>
    <w:p>
      <w:pPr>
        <w:numPr>
          <w:ilvl w:val="0"/>
          <w:numId w:val="5"/>
        </w:numPr>
        <w:bidi w:val="0"/>
        <w:rPr>
          <w:rFonts w:hint="default" w:ascii="Times New Roman" w:hAnsi="Times New Roman" w:cs="Times New Roman"/>
          <w:lang w:val="zh-CN" w:eastAsia="zh-CN"/>
        </w:rPr>
      </w:pPr>
      <w:r>
        <w:rPr>
          <w:rFonts w:hint="default" w:ascii="Times New Roman" w:hAnsi="Times New Roman" w:cs="Times New Roman"/>
          <w:lang w:val="zh-CN" w:eastAsia="zh-CN"/>
        </w:rPr>
        <w:t>《自然资源部关于印发&lt;土地征收成片开发标准（试行）&gt;的通知》（自然资规〔2020〕5号）；</w:t>
      </w:r>
    </w:p>
    <w:p>
      <w:pPr>
        <w:bidi w:val="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default" w:ascii="Times New Roman" w:hAnsi="Times New Roman" w:cs="Times New Roman"/>
          <w:lang w:val="zh-CN" w:eastAsia="zh-CN"/>
        </w:rPr>
        <w:t>浙江省自然</w:t>
      </w:r>
      <w:r>
        <w:rPr>
          <w:rFonts w:hint="eastAsia" w:ascii="Times New Roman" w:hAnsi="Times New Roman" w:cs="Times New Roman"/>
          <w:lang w:val="en-US" w:eastAsia="zh-CN"/>
        </w:rPr>
        <w:t>资源</w:t>
      </w:r>
      <w:r>
        <w:rPr>
          <w:rFonts w:hint="default" w:ascii="Times New Roman" w:hAnsi="Times New Roman" w:cs="Times New Roman"/>
          <w:lang w:val="zh-CN" w:eastAsia="zh-CN"/>
        </w:rPr>
        <w:t>厅关于</w:t>
      </w:r>
      <w:r>
        <w:rPr>
          <w:rFonts w:hint="eastAsia" w:ascii="Times New Roman" w:hAnsi="Times New Roman" w:cs="Times New Roman"/>
          <w:lang w:val="en-US" w:eastAsia="zh-CN"/>
        </w:rPr>
        <w:t>印发〈</w:t>
      </w:r>
      <w:r>
        <w:rPr>
          <w:rFonts w:hint="default" w:ascii="Times New Roman" w:hAnsi="Times New Roman" w:cs="Times New Roman"/>
          <w:lang w:val="zh-CN" w:eastAsia="zh-CN"/>
        </w:rPr>
        <w:t>浙江省土地征收成片开发方案编制</w:t>
      </w:r>
      <w:r>
        <w:rPr>
          <w:rFonts w:hint="eastAsia" w:ascii="Times New Roman" w:hAnsi="Times New Roman" w:cs="Times New Roman"/>
          <w:lang w:val="en-US" w:eastAsia="zh-CN"/>
        </w:rPr>
        <w:t>大纲及参考格式〉的通知</w:t>
      </w:r>
      <w:r>
        <w:rPr>
          <w:rFonts w:hint="default" w:ascii="Times New Roman" w:hAnsi="Times New Roman" w:cs="Times New Roman"/>
          <w:lang w:val="zh-CN" w:eastAsia="zh-CN"/>
        </w:rPr>
        <w:t>》（</w:t>
      </w:r>
      <w:r>
        <w:rPr>
          <w:rFonts w:hint="eastAsia" w:ascii="Times New Roman" w:hAnsi="Times New Roman" w:cs="Times New Roman"/>
          <w:lang w:val="en-US" w:eastAsia="zh-CN"/>
        </w:rPr>
        <w:t>浙自然资厅函</w:t>
      </w:r>
      <w:r>
        <w:rPr>
          <w:rFonts w:hint="default" w:ascii="Times New Roman" w:hAnsi="Times New Roman" w:cs="Times New Roman"/>
          <w:lang w:val="zh-CN" w:eastAsia="zh-CN"/>
        </w:rPr>
        <w:t>〔202</w:t>
      </w:r>
      <w:r>
        <w:rPr>
          <w:rFonts w:hint="eastAsia" w:ascii="Times New Roman" w:hAnsi="Times New Roman" w:cs="Times New Roman"/>
          <w:lang w:val="en-US" w:eastAsia="zh-CN"/>
        </w:rPr>
        <w:t>1</w:t>
      </w:r>
      <w:r>
        <w:rPr>
          <w:rFonts w:hint="default" w:ascii="Times New Roman" w:hAnsi="Times New Roman" w:cs="Times New Roman"/>
          <w:lang w:val="zh-CN" w:eastAsia="zh-CN"/>
        </w:rPr>
        <w:t>〕</w:t>
      </w:r>
      <w:r>
        <w:rPr>
          <w:rFonts w:hint="eastAsia" w:ascii="Times New Roman" w:hAnsi="Times New Roman" w:cs="Times New Roman"/>
          <w:lang w:val="en-US" w:eastAsia="zh-CN"/>
        </w:rPr>
        <w:t>450</w:t>
      </w:r>
      <w:r>
        <w:rPr>
          <w:rFonts w:hint="default" w:ascii="Times New Roman" w:hAnsi="Times New Roman" w:cs="Times New Roman"/>
          <w:lang w:val="zh-CN" w:eastAsia="zh-CN"/>
        </w:rPr>
        <w:t>号）；</w:t>
      </w:r>
    </w:p>
    <w:p>
      <w:pPr>
        <w:numPr>
          <w:ilvl w:val="0"/>
          <w:numId w:val="5"/>
        </w:numPr>
        <w:bidi w:val="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default" w:ascii="Times New Roman" w:hAnsi="Times New Roman" w:cs="Times New Roman"/>
          <w:lang w:val="zh-CN" w:eastAsia="zh-CN"/>
        </w:rPr>
        <w:t>浙江省自然</w:t>
      </w:r>
      <w:r>
        <w:rPr>
          <w:rFonts w:hint="eastAsia" w:ascii="Times New Roman" w:hAnsi="Times New Roman" w:cs="Times New Roman"/>
          <w:lang w:val="en-US" w:eastAsia="zh-CN"/>
        </w:rPr>
        <w:t>资源</w:t>
      </w:r>
      <w:r>
        <w:rPr>
          <w:rFonts w:hint="default" w:ascii="Times New Roman" w:hAnsi="Times New Roman" w:cs="Times New Roman"/>
          <w:lang w:val="zh-CN" w:eastAsia="zh-CN"/>
        </w:rPr>
        <w:t>厅关于</w:t>
      </w:r>
      <w:r>
        <w:rPr>
          <w:rFonts w:hint="eastAsia" w:ascii="Times New Roman" w:hAnsi="Times New Roman" w:cs="Times New Roman"/>
          <w:lang w:val="en-US" w:eastAsia="zh-CN"/>
        </w:rPr>
        <w:t>印发〈</w:t>
      </w:r>
      <w:r>
        <w:rPr>
          <w:rFonts w:hint="default" w:ascii="Times New Roman" w:hAnsi="Times New Roman" w:cs="Times New Roman"/>
          <w:lang w:val="zh-CN" w:eastAsia="zh-CN"/>
        </w:rPr>
        <w:t>浙江省土地征收成片开发方案编制审核办法（试行）</w:t>
      </w:r>
      <w:r>
        <w:rPr>
          <w:rFonts w:hint="eastAsia" w:ascii="Times New Roman" w:hAnsi="Times New Roman" w:cs="Times New Roman"/>
          <w:lang w:val="en-US" w:eastAsia="zh-CN"/>
        </w:rPr>
        <w:t>〉的通知</w:t>
      </w:r>
      <w:r>
        <w:rPr>
          <w:rFonts w:hint="default" w:ascii="Times New Roman" w:hAnsi="Times New Roman" w:cs="Times New Roman"/>
          <w:lang w:val="zh-CN" w:eastAsia="zh-CN"/>
        </w:rPr>
        <w:t>》（</w:t>
      </w:r>
      <w:r>
        <w:rPr>
          <w:rFonts w:hint="eastAsia" w:ascii="Times New Roman" w:hAnsi="Times New Roman" w:cs="Times New Roman"/>
          <w:lang w:val="en-US" w:eastAsia="zh-CN"/>
        </w:rPr>
        <w:t>浙自然资规</w:t>
      </w:r>
      <w:r>
        <w:rPr>
          <w:rFonts w:hint="default" w:ascii="Times New Roman" w:hAnsi="Times New Roman" w:cs="Times New Roman"/>
          <w:lang w:val="zh-CN" w:eastAsia="zh-CN"/>
        </w:rPr>
        <w:t>〔202</w:t>
      </w:r>
      <w:r>
        <w:rPr>
          <w:rFonts w:hint="eastAsia" w:ascii="Times New Roman" w:hAnsi="Times New Roman" w:cs="Times New Roman"/>
          <w:lang w:val="en-US" w:eastAsia="zh-CN"/>
        </w:rPr>
        <w:t>1</w:t>
      </w:r>
      <w:r>
        <w:rPr>
          <w:rFonts w:hint="default" w:ascii="Times New Roman" w:hAnsi="Times New Roman" w:cs="Times New Roman"/>
          <w:lang w:val="zh-CN" w:eastAsia="zh-CN"/>
        </w:rPr>
        <w:t>〕</w:t>
      </w:r>
      <w:r>
        <w:rPr>
          <w:rFonts w:hint="eastAsia" w:ascii="Times New Roman" w:hAnsi="Times New Roman" w:cs="Times New Roman"/>
          <w:lang w:val="en-US" w:eastAsia="zh-CN"/>
        </w:rPr>
        <w:t>3</w:t>
      </w:r>
      <w:r>
        <w:rPr>
          <w:rFonts w:hint="default" w:ascii="Times New Roman" w:hAnsi="Times New Roman" w:cs="Times New Roman"/>
          <w:lang w:val="zh-CN" w:eastAsia="zh-CN"/>
        </w:rPr>
        <w:t>号）；</w:t>
      </w:r>
    </w:p>
    <w:p>
      <w:pPr>
        <w:keepNext w:val="0"/>
        <w:keepLines w:val="0"/>
        <w:widowControl/>
        <w:suppressLineNumbers w:val="0"/>
        <w:jc w:val="left"/>
      </w:pPr>
      <w:r>
        <w:rPr>
          <w:rFonts w:hint="default" w:ascii="Times New Roman" w:hAnsi="Times New Roman" w:cs="Times New Roman"/>
          <w:lang w:val="zh-CN" w:eastAsia="zh-CN"/>
        </w:rPr>
        <w:t>（</w:t>
      </w:r>
      <w:r>
        <w:rPr>
          <w:rFonts w:hint="eastAsia" w:ascii="Times New Roman" w:hAnsi="Times New Roman" w:cs="Times New Roman"/>
          <w:lang w:val="en-US" w:eastAsia="zh-CN"/>
        </w:rPr>
        <w:t>3</w:t>
      </w:r>
      <w:r>
        <w:rPr>
          <w:rFonts w:hint="default" w:ascii="Times New Roman" w:hAnsi="Times New Roman" w:cs="Times New Roman"/>
          <w:lang w:val="zh-CN" w:eastAsia="zh-CN"/>
        </w:rPr>
        <w:t>）</w:t>
      </w:r>
      <w:r>
        <w:rPr>
          <w:rFonts w:ascii="仿宋" w:hAnsi="仿宋" w:eastAsia="仿宋" w:cs="仿宋"/>
          <w:color w:val="000000"/>
          <w:kern w:val="0"/>
          <w:sz w:val="30"/>
          <w:szCs w:val="30"/>
          <w:lang w:val="en-US" w:eastAsia="zh-CN" w:bidi="ar"/>
        </w:rPr>
        <w:t>《浙江省自然资源厅关于做好乡村全域土地综合整治与生</w:t>
      </w:r>
      <w:r>
        <w:rPr>
          <w:rFonts w:hint="eastAsia" w:ascii="仿宋" w:hAnsi="仿宋" w:eastAsia="仿宋" w:cs="仿宋"/>
          <w:color w:val="000000"/>
          <w:kern w:val="0"/>
          <w:sz w:val="30"/>
          <w:szCs w:val="30"/>
          <w:lang w:val="en-US" w:eastAsia="zh-CN" w:bidi="ar"/>
        </w:rPr>
        <w:t>态修复工程涉及永久基本农田布局优化工作的通知》（浙自然资发〔2019〕30号）；</w:t>
      </w:r>
    </w:p>
    <w:p>
      <w:pPr>
        <w:bidi w:val="0"/>
        <w:rPr>
          <w:rFonts w:hint="default" w:ascii="Times New Roman" w:hAnsi="Times New Roman" w:cs="Times New Roman"/>
          <w:lang w:val="zh-CN" w:eastAsia="zh-CN"/>
        </w:rPr>
      </w:pPr>
      <w:r>
        <w:rPr>
          <w:rFonts w:hint="eastAsia" w:ascii="Times New Roman" w:hAnsi="Times New Roman" w:cs="Times New Roman"/>
          <w:lang w:val="zh-CN" w:eastAsia="zh-CN"/>
        </w:rPr>
        <w:t>（</w:t>
      </w:r>
      <w:r>
        <w:rPr>
          <w:rFonts w:hint="eastAsia" w:ascii="Times New Roman" w:hAnsi="Times New Roman" w:cs="Times New Roman"/>
          <w:lang w:val="en-US" w:eastAsia="zh-CN"/>
        </w:rPr>
        <w:t>4</w:t>
      </w:r>
      <w:r>
        <w:rPr>
          <w:rFonts w:hint="eastAsia" w:ascii="Times New Roman" w:hAnsi="Times New Roman" w:cs="Times New Roman"/>
          <w:lang w:val="zh-CN" w:eastAsia="zh-CN"/>
        </w:rPr>
        <w:t>）</w:t>
      </w:r>
      <w:r>
        <w:rPr>
          <w:rFonts w:hint="default" w:ascii="Times New Roman" w:hAnsi="Times New Roman" w:cs="Times New Roman"/>
          <w:lang w:val="zh-CN" w:eastAsia="zh-CN"/>
        </w:rPr>
        <w:t>《江山市征地区片综合地价标准》</w:t>
      </w:r>
    </w:p>
    <w:p>
      <w:pPr>
        <w:bidi w:val="0"/>
        <w:rPr>
          <w:rFonts w:hint="default" w:ascii="Times New Roman" w:hAnsi="Times New Roman" w:cs="Times New Roman"/>
          <w:lang w:val="zh-CN" w:eastAsia="zh-CN"/>
        </w:rPr>
      </w:pPr>
      <w:r>
        <w:rPr>
          <w:rFonts w:hint="default" w:ascii="Times New Roman" w:hAnsi="Times New Roman" w:cs="Times New Roman"/>
          <w:lang w:val="zh-CN" w:eastAsia="zh-CN"/>
        </w:rPr>
        <w:t>（</w:t>
      </w:r>
      <w:r>
        <w:rPr>
          <w:rFonts w:hint="eastAsia" w:ascii="Times New Roman" w:hAnsi="Times New Roman" w:cs="Times New Roman"/>
          <w:lang w:val="en-US" w:eastAsia="zh-CN"/>
        </w:rPr>
        <w:t>5</w:t>
      </w:r>
      <w:r>
        <w:rPr>
          <w:rFonts w:hint="default" w:ascii="Times New Roman" w:hAnsi="Times New Roman" w:cs="Times New Roman"/>
          <w:lang w:val="zh-CN" w:eastAsia="zh-CN"/>
        </w:rPr>
        <w:t>）《江山市征收集体土地地上附着物和青苗补偿标准》；</w:t>
      </w:r>
    </w:p>
    <w:p>
      <w:pPr>
        <w:pStyle w:val="5"/>
        <w:bidi w:val="0"/>
        <w:rPr>
          <w:rFonts w:hint="eastAsia"/>
          <w:lang w:val="en-US" w:eastAsia="zh-CN"/>
        </w:rPr>
      </w:pPr>
      <w:r>
        <w:rPr>
          <w:rFonts w:hint="eastAsia"/>
          <w:lang w:val="en-US" w:eastAsia="zh-CN"/>
        </w:rPr>
        <w:t>3、相关规划</w:t>
      </w:r>
    </w:p>
    <w:p>
      <w:pPr>
        <w:rPr>
          <w:rFonts w:hint="eastAsia"/>
          <w:lang w:val="en-US" w:eastAsia="zh-CN"/>
        </w:rPr>
      </w:pPr>
      <w:r>
        <w:rPr>
          <w:rFonts w:hint="eastAsia"/>
          <w:lang w:val="en-US" w:eastAsia="zh-CN"/>
        </w:rPr>
        <w:t>《江山市永久基本农田划定成果（2017）》</w:t>
      </w:r>
    </w:p>
    <w:p>
      <w:pPr>
        <w:rPr>
          <w:rFonts w:hint="eastAsia"/>
          <w:lang w:val="en-US" w:eastAsia="zh-CN"/>
        </w:rPr>
      </w:pPr>
      <w:r>
        <w:rPr>
          <w:rFonts w:hint="eastAsia"/>
          <w:lang w:val="en-US" w:eastAsia="zh-CN"/>
        </w:rPr>
        <w:t>《江山市生态保护红线划定成果（2020）》</w:t>
      </w:r>
    </w:p>
    <w:p>
      <w:pPr>
        <w:rPr>
          <w:rFonts w:hint="eastAsia"/>
          <w:lang w:val="en-US" w:eastAsia="zh-CN"/>
        </w:rPr>
      </w:pPr>
      <w:r>
        <w:rPr>
          <w:rFonts w:hint="eastAsia"/>
          <w:lang w:val="en-US" w:eastAsia="zh-CN"/>
        </w:rPr>
        <w:t>《江山市城镇开发边界划定技术成果（2021年5月）》</w:t>
      </w:r>
    </w:p>
    <w:p>
      <w:pPr>
        <w:rPr>
          <w:rFonts w:hint="eastAsia"/>
          <w:lang w:val="en-US" w:eastAsia="zh-CN"/>
        </w:rPr>
      </w:pPr>
      <w:r>
        <w:rPr>
          <w:rFonts w:hint="eastAsia"/>
          <w:lang w:val="en-US" w:eastAsia="zh-CN"/>
        </w:rPr>
        <w:t>《江山市“高新技术园区”控制性详细规划》等已编制控规单元成果</w:t>
      </w:r>
    </w:p>
    <w:p>
      <w:pPr>
        <w:rPr>
          <w:rFonts w:hint="default"/>
          <w:lang w:val="en-US" w:eastAsia="zh-CN"/>
        </w:rPr>
      </w:pPr>
      <w:r>
        <w:rPr>
          <w:rFonts w:hint="eastAsia"/>
          <w:lang w:val="en-US" w:eastAsia="zh-CN"/>
        </w:rPr>
        <w:t>4、已有调查及统计成果</w:t>
      </w:r>
    </w:p>
    <w:p>
      <w:pPr>
        <w:rPr>
          <w:rFonts w:hint="eastAsia" w:ascii="Times New Roman" w:hAnsi="Times New Roman"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江山市2018年度土地变更调查成果》</w:t>
      </w:r>
    </w:p>
    <w:p>
      <w:pPr>
        <w:rPr>
          <w:rFonts w:hint="default" w:ascii="Times New Roman" w:hAnsi="Times New Roman" w:cs="Times New Roman"/>
          <w:lang w:eastAsia="zh-CN"/>
        </w:rPr>
      </w:pPr>
      <w:r>
        <w:rPr>
          <w:rFonts w:hint="eastAsia" w:ascii="Times New Roman" w:hAnsi="Times New Roman" w:cs="Times New Roman"/>
          <w:lang w:val="en-US" w:eastAsia="zh-CN"/>
        </w:rPr>
        <w:t>《2020年江山市（330881）国民经济和社会发展统计公报》等</w:t>
      </w:r>
      <w:r>
        <w:rPr>
          <w:rFonts w:hint="default" w:ascii="Times New Roman" w:hAnsi="Times New Roman" w:cs="Times New Roman"/>
          <w:lang w:eastAsia="zh-CN"/>
        </w:rPr>
        <w:br w:type="page"/>
      </w:r>
    </w:p>
    <w:p>
      <w:pPr>
        <w:pStyle w:val="4"/>
        <w:numPr>
          <w:ilvl w:val="0"/>
          <w:numId w:val="2"/>
        </w:numPr>
        <w:bidi w:val="0"/>
        <w:ind w:left="-280" w:leftChars="0" w:firstLine="643" w:firstLineChars="0"/>
        <w:outlineLvl w:val="1"/>
        <w:rPr>
          <w:rFonts w:hint="default"/>
          <w:lang w:eastAsia="zh-CN"/>
        </w:rPr>
      </w:pPr>
      <w:bookmarkStart w:id="4" w:name="_Toc22990"/>
      <w:r>
        <w:rPr>
          <w:rFonts w:hint="default"/>
          <w:lang w:eastAsia="zh-CN"/>
        </w:rPr>
        <w:t>土地节约集约利用水平</w:t>
      </w:r>
      <w:bookmarkEnd w:id="4"/>
    </w:p>
    <w:p>
      <w:pPr>
        <w:bidi w:val="0"/>
        <w:rPr>
          <w:rFonts w:hint="eastAsia" w:ascii="Times New Roman" w:hAnsi="Times New Roman" w:cs="Times New Roman"/>
          <w:lang w:val="en-US" w:eastAsia="zh-CN"/>
        </w:rPr>
      </w:pPr>
      <w:r>
        <w:rPr>
          <w:rFonts w:hint="default" w:ascii="Times New Roman" w:hAnsi="Times New Roman" w:cs="Times New Roman"/>
          <w:lang w:val="en-US" w:eastAsia="zh-CN"/>
        </w:rPr>
        <w:t>2020年度，已农转用土地总面积为150.8676公顷（2263.01亩），征收土地总面积为118.6720公顷（1780.08亩），已供地面积为115.2269公顷（1728.40亩），供地率为97.1%</w:t>
      </w:r>
      <w:r>
        <w:rPr>
          <w:rFonts w:hint="eastAsia" w:ascii="Times New Roman" w:hAnsi="Times New Roman" w:cs="Times New Roman"/>
          <w:lang w:val="en-US" w:eastAsia="zh-CN"/>
        </w:rPr>
        <w:t>；</w:t>
      </w:r>
      <w:r>
        <w:rPr>
          <w:rFonts w:hint="default" w:ascii="Times New Roman" w:hAnsi="Times New Roman" w:cs="Times New Roman"/>
          <w:lang w:val="en-US" w:eastAsia="zh-CN"/>
        </w:rPr>
        <w:t>2019-2021年批而未供土地总面积为678亩</w:t>
      </w:r>
      <w:r>
        <w:rPr>
          <w:rFonts w:hint="eastAsia" w:ascii="Times New Roman" w:hAnsi="Times New Roman" w:cs="Times New Roman"/>
          <w:lang w:val="en-US" w:eastAsia="zh-CN"/>
        </w:rPr>
        <w:t>，截止2021年7月，江山市辖区批而未供土地总量低于2020年度土地供应。</w:t>
      </w:r>
    </w:p>
    <w:p>
      <w:pPr>
        <w:bidi w:val="0"/>
        <w:rPr>
          <w:rFonts w:hint="default" w:ascii="Times New Roman" w:hAnsi="Times New Roman" w:cs="Times New Roman"/>
          <w:lang w:val="en-US" w:eastAsia="zh-CN"/>
        </w:rPr>
      </w:pPr>
      <w:r>
        <w:rPr>
          <w:rFonts w:hint="eastAsia" w:ascii="Times New Roman" w:hAnsi="Times New Roman" w:cs="Times New Roman"/>
          <w:lang w:val="en-US" w:eastAsia="zh-CN"/>
        </w:rPr>
        <w:t>2020年，江山市消化批而未供建设用地面积5957.0871亩，其中09-17批次826.0461亩，2018-2020年4477.629亩；完成指标盘活亩；完成存量用地盘活（含低丘缓坡开发）1720.9762亩；完成低效建设用地350.15亩；完成闲置建设用地处置6亩；再开发完成建设用地复垦验收3110.3371亩，其中通过县（市）级验收3110.3371亩。</w:t>
      </w:r>
    </w:p>
    <w:p>
      <w:pPr>
        <w:bidi w:val="0"/>
        <w:rPr>
          <w:rFonts w:hint="eastAsia" w:ascii="Times New Roman" w:hAnsi="Times New Roman" w:cs="Times New Roman"/>
          <w:lang w:val="en-US" w:eastAsia="zh-CN"/>
        </w:rPr>
      </w:pPr>
      <w:r>
        <w:rPr>
          <w:rFonts w:hint="eastAsia" w:ascii="Times New Roman" w:hAnsi="Times New Roman" w:cs="Times New Roman"/>
          <w:lang w:val="en-US" w:eastAsia="zh-CN"/>
        </w:rPr>
        <w:t>综上，江山市批而未供土地总量低于全省平均水平，符合《浙江省土地征收成片开发方案编制审核办法（试行）》关于批而未供和闲置土地的要求。</w:t>
      </w:r>
    </w:p>
    <w:p>
      <w:pPr>
        <w:bidi w:val="0"/>
        <w:jc w:val="center"/>
        <w:rPr>
          <w:rFonts w:hint="default" w:ascii="Times New Roman" w:hAnsi="Times New Roman" w:eastAsia="黑体" w:cs="Times New Roman"/>
          <w:sz w:val="28"/>
          <w:lang w:val="en-US" w:eastAsia="zh-CN"/>
        </w:rPr>
      </w:pPr>
      <w:r>
        <w:rPr>
          <w:rFonts w:hint="default" w:ascii="Times New Roman" w:hAnsi="Times New Roman" w:eastAsia="黑体" w:cs="Times New Roman"/>
          <w:sz w:val="28"/>
          <w:lang w:val="en-US" w:eastAsia="zh-CN"/>
        </w:rPr>
        <w:t>江山市批而未供分类处置汇总表</w:t>
      </w:r>
    </w:p>
    <w:p>
      <w:pPr>
        <w:bidi w:val="0"/>
        <w:jc w:val="right"/>
        <w:rPr>
          <w:rFonts w:hint="default" w:ascii="Times New Roman" w:hAnsi="Times New Roman" w:eastAsia="黑体" w:cs="Times New Roman"/>
          <w:sz w:val="22"/>
          <w:szCs w:val="20"/>
          <w:lang w:val="en-US" w:eastAsia="zh-CN"/>
        </w:rPr>
      </w:pPr>
      <w:r>
        <w:rPr>
          <w:rFonts w:hint="default" w:ascii="Times New Roman" w:hAnsi="Times New Roman" w:eastAsia="黑体" w:cs="Times New Roman"/>
          <w:sz w:val="22"/>
          <w:szCs w:val="20"/>
          <w:lang w:val="en-US" w:eastAsia="zh-CN"/>
        </w:rPr>
        <w:t>单位：亩</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143"/>
        <w:gridCol w:w="1212"/>
        <w:gridCol w:w="1184"/>
        <w:gridCol w:w="1184"/>
        <w:gridCol w:w="1129"/>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批而未供总数</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加快项目落地类</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完善供地条件类</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补办供地手续类</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边角零星利用类</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指标盘活置换类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2009-2021</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3768</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2976.12 </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461.41 </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246.15 </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8.12 </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76.21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2019-2021</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678</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651.04 </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7.77 </w:t>
            </w:r>
          </w:p>
        </w:tc>
        <w:tc>
          <w:tcPr>
            <w:tcW w:w="121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19.11 </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 xml:space="preserve">0.08 </w:t>
            </w:r>
          </w:p>
        </w:tc>
        <w:tc>
          <w:tcPr>
            <w:tcW w:w="121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30"/>
                <w:szCs w:val="30"/>
                <w:u w:val="none"/>
                <w:lang w:val="en-US" w:eastAsia="zh-CN" w:bidi="ar"/>
              </w:rPr>
            </w:pPr>
            <w:r>
              <w:rPr>
                <w:rFonts w:hint="default" w:ascii="Times New Roman" w:hAnsi="Times New Roman" w:eastAsia="宋体" w:cs="Times New Roman"/>
                <w:i w:val="0"/>
                <w:iCs w:val="0"/>
                <w:color w:val="000000"/>
                <w:kern w:val="0"/>
                <w:sz w:val="30"/>
                <w:szCs w:val="30"/>
                <w:u w:val="none"/>
                <w:lang w:val="en-US" w:eastAsia="zh-CN" w:bidi="ar"/>
              </w:rPr>
              <w:t>0</w:t>
            </w: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3"/>
        <w:bidi w:val="0"/>
        <w:outlineLvl w:val="0"/>
        <w:rPr>
          <w:rFonts w:hint="default"/>
          <w:lang w:val="en-US" w:eastAsia="zh-CN"/>
        </w:rPr>
      </w:pPr>
      <w:bookmarkStart w:id="5" w:name="_Toc18053"/>
      <w:r>
        <w:rPr>
          <w:rFonts w:hint="eastAsia"/>
          <w:lang w:val="en-US" w:eastAsia="zh-CN"/>
        </w:rPr>
        <w:t>二、成片开发土地利用情况</w:t>
      </w:r>
      <w:bookmarkEnd w:id="5"/>
    </w:p>
    <w:p>
      <w:pPr>
        <w:pStyle w:val="4"/>
        <w:bidi w:val="0"/>
        <w:outlineLvl w:val="1"/>
        <w:rPr>
          <w:rFonts w:hint="default"/>
          <w:lang w:val="en-US" w:eastAsia="zh-CN"/>
        </w:rPr>
      </w:pPr>
      <w:bookmarkStart w:id="6" w:name="_Toc9242"/>
      <w:r>
        <w:rPr>
          <w:rFonts w:hint="eastAsia"/>
          <w:lang w:val="en-US" w:eastAsia="zh-CN"/>
        </w:rPr>
        <w:t>（一）成片开发土地利用情况</w:t>
      </w:r>
      <w:bookmarkEnd w:id="6"/>
    </w:p>
    <w:p>
      <w:pPr>
        <w:pStyle w:val="5"/>
        <w:bidi w:val="0"/>
        <w:rPr>
          <w:rFonts w:hint="default"/>
          <w:lang w:val="en-US" w:eastAsia="zh-CN"/>
        </w:rPr>
      </w:pPr>
      <w:r>
        <w:rPr>
          <w:rFonts w:hint="eastAsia"/>
          <w:lang w:val="en-US" w:eastAsia="zh-CN"/>
        </w:rPr>
        <w:t>1、成片开发基本情况</w:t>
      </w:r>
    </w:p>
    <w:p>
      <w:pPr>
        <w:tabs>
          <w:tab w:val="left" w:pos="5893"/>
        </w:tabs>
        <w:bidi w:val="0"/>
        <w:rPr>
          <w:rFonts w:hint="default" w:ascii="Times New Roman" w:hAnsi="Times New Roman" w:cs="Times New Roman"/>
          <w:lang w:val="en-US" w:eastAsia="zh-CN"/>
        </w:rPr>
      </w:pPr>
      <w:r>
        <w:rPr>
          <w:rFonts w:hint="eastAsia" w:ascii="Times New Roman" w:hAnsi="Times New Roman" w:cs="Times New Roman"/>
          <w:lang w:val="en-US" w:eastAsia="zh-CN"/>
        </w:rPr>
        <w:t>本成片开发方案共包括37个片区，总面积为1479.1942</w:t>
      </w:r>
      <w:r>
        <w:rPr>
          <w:rFonts w:hint="default" w:ascii="Times New Roman" w:hAnsi="Times New Roman" w:cs="Times New Roman"/>
          <w:lang w:val="en-US" w:eastAsia="zh-CN"/>
        </w:rPr>
        <w:t>公顷</w:t>
      </w:r>
      <w:r>
        <w:rPr>
          <w:rFonts w:hint="eastAsia" w:ascii="Times New Roman" w:hAnsi="Times New Roman" w:cs="Times New Roman"/>
          <w:lang w:val="en-US" w:eastAsia="zh-CN"/>
        </w:rPr>
        <w:t>，涉及江山市</w:t>
      </w:r>
      <w:r>
        <w:rPr>
          <w:rFonts w:hint="default" w:ascii="Times New Roman" w:hAnsi="Times New Roman" w:cs="Times New Roman"/>
          <w:lang w:val="en-US" w:eastAsia="zh-CN"/>
        </w:rPr>
        <w:t>清湖街道、虎山街道</w:t>
      </w:r>
      <w:r>
        <w:rPr>
          <w:rFonts w:hint="eastAsia" w:ascii="Times New Roman" w:hAnsi="Times New Roman" w:cs="Times New Roman"/>
          <w:lang w:val="en-US" w:eastAsia="zh-CN"/>
        </w:rPr>
        <w:t>、双塔街道、贺村镇、上余镇、峡口镇、石门镇、四都镇、新塘边镇、碗窑乡、张村乡共11个镇街，涉及江山市经济开发区（省级开发区）</w:t>
      </w:r>
      <w:r>
        <w:rPr>
          <w:rFonts w:hint="default" w:ascii="Times New Roman" w:hAnsi="Times New Roman" w:cs="Times New Roman"/>
          <w:lang w:val="en-US" w:eastAsia="zh-CN"/>
        </w:rPr>
        <w:t>。</w:t>
      </w:r>
    </w:p>
    <w:p>
      <w:pPr>
        <w:tabs>
          <w:tab w:val="left" w:pos="5893"/>
        </w:tabs>
        <w:bidi w:val="0"/>
        <w:jc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表1 成片开发范围基本情况表</w:t>
      </w:r>
    </w:p>
    <w:p>
      <w:pPr>
        <w:tabs>
          <w:tab w:val="left" w:pos="5893"/>
        </w:tabs>
        <w:bidi w:val="0"/>
        <w:jc w:val="right"/>
        <w:rPr>
          <w:rFonts w:hint="default" w:ascii="Times New Roman" w:hAnsi="Times New Roman" w:cs="Times New Roman"/>
          <w:b/>
          <w:bCs/>
          <w:sz w:val="28"/>
          <w:szCs w:val="21"/>
          <w:lang w:val="en-US" w:eastAsia="zh-CN"/>
        </w:rPr>
      </w:pPr>
      <w:r>
        <w:rPr>
          <w:rFonts w:hint="eastAsia" w:ascii="Times New Roman" w:hAnsi="Times New Roman" w:cs="Times New Roman"/>
          <w:b/>
          <w:bCs/>
          <w:sz w:val="28"/>
          <w:szCs w:val="21"/>
          <w:lang w:val="en-US" w:eastAsia="zh-CN"/>
        </w:rPr>
        <w:t>单位：公顷</w:t>
      </w:r>
    </w:p>
    <w:tbl>
      <w:tblPr>
        <w:tblStyle w:val="12"/>
        <w:tblW w:w="5106" w:type="pct"/>
        <w:tblInd w:w="0" w:type="dxa"/>
        <w:shd w:val="clear" w:color="auto" w:fill="auto"/>
        <w:tblLayout w:type="fixed"/>
        <w:tblCellMar>
          <w:top w:w="0" w:type="dxa"/>
          <w:left w:w="108" w:type="dxa"/>
          <w:bottom w:w="0" w:type="dxa"/>
          <w:right w:w="108" w:type="dxa"/>
        </w:tblCellMar>
      </w:tblPr>
      <w:tblGrid>
        <w:gridCol w:w="743"/>
        <w:gridCol w:w="1234"/>
        <w:gridCol w:w="2650"/>
        <w:gridCol w:w="2877"/>
        <w:gridCol w:w="1204"/>
      </w:tblGrid>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编号</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涉及乡镇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面积</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CP330881-2021-01</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江东新城片区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双塔街道、虎山街道、碗窑</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290.4513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CP330881-2021-02</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城南1号片区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虎山街道、清湖街道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510.8082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城南2号片区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虎山街道、清湖街道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29.2603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CP330881-2021-04</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江东1号工业片区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131.5682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CP330881-2021-05</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江东2号工业片区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7.3296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CP330881-2021-06</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贺村金塘山片区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14.1032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CP330881-2021-07</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贺村莲花山1号片区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清湖街道、贺村镇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65.4153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CP330881-2021-08</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贺村莲花山2号片区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17.3476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CP330881-2021-09</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贺村莲花山3号片区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83.5615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CP330881-2021-10</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贺村莲花山4号工业片区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31.7256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CP330881-2021-11</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贺村集镇1号片区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36.6153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CP330881-2021-12</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贺村集镇2号片区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55.8651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贺村集镇3号片区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7.9197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CP330881-2021-14</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虎山街道1号片区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24.1589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CP330881-2021-15</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虎山街道2号片区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8.0838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CP330881-2021-16</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虎山街道四方坞工业区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3.4090 </w:t>
            </w:r>
          </w:p>
        </w:tc>
      </w:tr>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CP330881-2021-17</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14.3312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CP330881-2021-18</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江郎山居文旅片区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清湖街道、石门镇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29.8307 </w:t>
            </w:r>
          </w:p>
        </w:tc>
      </w:tr>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CP330881-2021-19</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峡口镇片区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14.4642 </w:t>
            </w:r>
          </w:p>
        </w:tc>
      </w:tr>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CP330881-2021-20</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长台集镇片区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长台镇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5.1348 </w:t>
            </w:r>
          </w:p>
        </w:tc>
      </w:tr>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CP330881-2021-21</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石门镇片区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2.5743 </w:t>
            </w:r>
          </w:p>
        </w:tc>
      </w:tr>
      <w:tr>
        <w:tblPrEx>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CP330881-2021-22</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11.9960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虎山街道3号片区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28.9912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CP330881-2021-24</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江东3号工业片区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13.3849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CP330881-2021-25</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四都集镇片区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四都镇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1.7098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CP330881-2021-26</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江郎山旅游服务区片</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3.8468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CP330881-2021-27</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保安野度片区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保安乡</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1.4018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CP330881-2021-28</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太阳神谷片区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张村乡</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2.6067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CP330881-2021-29</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贺村商住片区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1.1985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CP330881-2021-30</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双塔街道1号片区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18.5138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CP330881-2021-31</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上余镇2号片区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3.8030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CP330881-2021-32</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贺村1号工业片区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1.4757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贺村2号工业片区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0.8319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CP330881-2021-34</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峡口居住片区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0.7043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CP330881-2021-35</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新塘边镇片区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新塘边镇</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1.3291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CP330881-2021-36</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1.5154 </w:t>
            </w:r>
          </w:p>
        </w:tc>
      </w:tr>
      <w:tr>
        <w:tblPrEx>
          <w:shd w:val="clear" w:color="auto" w:fill="auto"/>
          <w:tblCellMar>
            <w:top w:w="0" w:type="dxa"/>
            <w:left w:w="108" w:type="dxa"/>
            <w:bottom w:w="0" w:type="dxa"/>
            <w:right w:w="108" w:type="dxa"/>
          </w:tblCellMar>
        </w:tblPrEx>
        <w:trPr>
          <w:trHeight w:val="270" w:hRule="atLeast"/>
        </w:trPr>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7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楷体" w:hAnsi="楷体" w:eastAsia="楷体" w:cs="楷体"/>
                <w:i w:val="0"/>
                <w:iCs w:val="0"/>
                <w:color w:val="000000"/>
                <w:sz w:val="24"/>
                <w:szCs w:val="24"/>
                <w:u w:val="none"/>
              </w:rPr>
            </w:pPr>
            <w:r>
              <w:rPr>
                <w:rFonts w:hint="eastAsia" w:ascii="楷体" w:hAnsi="楷体" w:eastAsia="楷体" w:cs="楷体"/>
                <w:i w:val="0"/>
                <w:iCs w:val="0"/>
                <w:color w:val="000000"/>
                <w:kern w:val="0"/>
                <w:sz w:val="24"/>
                <w:szCs w:val="24"/>
                <w:u w:val="none"/>
                <w:lang w:val="en-US" w:eastAsia="zh-CN" w:bidi="ar"/>
              </w:rPr>
              <w:t>CP330881-2021-37</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双塔街道3号片区</w:t>
            </w:r>
          </w:p>
        </w:tc>
        <w:tc>
          <w:tcPr>
            <w:tcW w:w="1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双塔街道</w:t>
            </w:r>
          </w:p>
        </w:tc>
        <w:tc>
          <w:tcPr>
            <w:tcW w:w="6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1.9274 </w:t>
            </w:r>
          </w:p>
        </w:tc>
      </w:tr>
    </w:tbl>
    <w:p>
      <w:pPr>
        <w:tabs>
          <w:tab w:val="left" w:pos="5893"/>
        </w:tabs>
        <w:bidi w:val="0"/>
        <w:rPr>
          <w:rFonts w:hint="default" w:ascii="Times New Roman" w:hAnsi="Times New Roman" w:cs="Times New Roman"/>
          <w:lang w:val="en-US" w:eastAsia="zh-CN"/>
        </w:rPr>
      </w:pPr>
      <w:r>
        <w:rPr>
          <w:rFonts w:hint="eastAsia" w:ascii="Times New Roman" w:hAnsi="Times New Roman" w:cs="Times New Roman"/>
          <w:lang w:val="en-US" w:eastAsia="zh-CN"/>
        </w:rPr>
        <w:t>2、土地利用现状</w:t>
      </w:r>
    </w:p>
    <w:p>
      <w:pPr>
        <w:tabs>
          <w:tab w:val="left" w:pos="5893"/>
        </w:tabs>
        <w:bidi w:val="0"/>
        <w:rPr>
          <w:rFonts w:hint="eastAsia" w:ascii="Times New Roman" w:hAnsi="Times New Roman" w:cs="Times New Roman"/>
          <w:lang w:val="en-US" w:eastAsia="zh-CN"/>
        </w:rPr>
      </w:pPr>
      <w:r>
        <w:rPr>
          <w:rFonts w:hint="eastAsia" w:ascii="Times New Roman" w:hAnsi="Times New Roman" w:cs="Times New Roman"/>
          <w:lang w:val="en-US" w:eastAsia="zh-CN"/>
        </w:rPr>
        <w:t>根据2018年度土地变更调查成果及历年农转用数据，通过数据统计分析得到该方案所涉及片区的总体土地利用情况，拟用地总面积为1479.1942公顷，涉及农用地629.2931公顷（其中，耕地面积为366.3195公顷），建设用地793.1547公顷，未利用地56.7464公顷。具体情况见表2。</w:t>
      </w:r>
    </w:p>
    <w:p>
      <w:pPr>
        <w:tabs>
          <w:tab w:val="left" w:pos="5893"/>
        </w:tabs>
        <w:bidi w:val="0"/>
        <w:ind w:left="0" w:leftChars="0"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表2 成片开发范围内土地利用现状统计表</w:t>
      </w:r>
    </w:p>
    <w:p>
      <w:pPr>
        <w:tabs>
          <w:tab w:val="left" w:pos="5893"/>
        </w:tabs>
        <w:bidi w:val="0"/>
        <w:jc w:val="right"/>
        <w:rPr>
          <w:rFonts w:hint="default" w:ascii="Times New Roman" w:hAnsi="Times New Roman" w:cs="Times New Roman"/>
          <w:b/>
          <w:bCs/>
          <w:sz w:val="28"/>
          <w:szCs w:val="21"/>
          <w:lang w:val="en-US" w:eastAsia="zh-CN"/>
        </w:rPr>
      </w:pPr>
      <w:r>
        <w:rPr>
          <w:rFonts w:hint="eastAsia" w:ascii="Times New Roman" w:hAnsi="Times New Roman" w:cs="Times New Roman"/>
          <w:b/>
          <w:bCs/>
          <w:sz w:val="28"/>
          <w:szCs w:val="21"/>
          <w:lang w:val="en-US" w:eastAsia="zh-CN"/>
        </w:rPr>
        <w:t>单位：公顷，%</w:t>
      </w:r>
    </w:p>
    <w:tbl>
      <w:tblPr>
        <w:tblStyle w:val="12"/>
        <w:tblW w:w="4998" w:type="pct"/>
        <w:tblInd w:w="0" w:type="dxa"/>
        <w:shd w:val="clear" w:color="auto" w:fill="auto"/>
        <w:tblLayout w:type="autofit"/>
        <w:tblCellMar>
          <w:top w:w="0" w:type="dxa"/>
          <w:left w:w="108" w:type="dxa"/>
          <w:bottom w:w="0" w:type="dxa"/>
          <w:right w:w="108" w:type="dxa"/>
        </w:tblCellMar>
      </w:tblPr>
      <w:tblGrid>
        <w:gridCol w:w="1421"/>
        <w:gridCol w:w="2764"/>
        <w:gridCol w:w="2400"/>
        <w:gridCol w:w="1938"/>
      </w:tblGrid>
      <w:tr>
        <w:tblPrEx>
          <w:shd w:val="clear" w:color="auto" w:fill="auto"/>
          <w:tblCellMar>
            <w:top w:w="0" w:type="dxa"/>
            <w:left w:w="108" w:type="dxa"/>
            <w:bottom w:w="0" w:type="dxa"/>
            <w:right w:w="108" w:type="dxa"/>
          </w:tblCellMar>
        </w:tblPrEx>
        <w:trPr>
          <w:trHeight w:val="567" w:hRule="exact"/>
        </w:trPr>
        <w:tc>
          <w:tcPr>
            <w:tcW w:w="24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地类</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面积</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占比</w:t>
            </w:r>
          </w:p>
        </w:tc>
      </w:tr>
      <w:tr>
        <w:tblPrEx>
          <w:shd w:val="clear" w:color="auto" w:fill="auto"/>
          <w:tblCellMar>
            <w:top w:w="0" w:type="dxa"/>
            <w:left w:w="108" w:type="dxa"/>
            <w:bottom w:w="0" w:type="dxa"/>
            <w:right w:w="108" w:type="dxa"/>
          </w:tblCellMar>
        </w:tblPrEx>
        <w:trPr>
          <w:trHeight w:val="567" w:hRule="exact"/>
        </w:trPr>
        <w:tc>
          <w:tcPr>
            <w:tcW w:w="82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农用地</w:t>
            </w: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小计</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629.2931</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42.54</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耕地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366.3195</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24.76</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园地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95.1650</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6.43</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林地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161.8422</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10.94</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草地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5.9665</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0.40</w:t>
            </w:r>
          </w:p>
        </w:tc>
      </w:tr>
      <w:tr>
        <w:tblPrEx>
          <w:shd w:val="clear" w:color="auto" w:fill="auto"/>
          <w:tblCellMar>
            <w:top w:w="0" w:type="dxa"/>
            <w:left w:w="108" w:type="dxa"/>
            <w:bottom w:w="0" w:type="dxa"/>
            <w:right w:w="108" w:type="dxa"/>
          </w:tblCellMar>
        </w:tblPrEx>
        <w:trPr>
          <w:trHeight w:val="567" w:hRule="exact"/>
        </w:trPr>
        <w:tc>
          <w:tcPr>
            <w:tcW w:w="82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建设用地</w:t>
            </w: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小计</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793.1547</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53.62</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城镇村及工矿用地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732.7888</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49.54</w:t>
            </w:r>
          </w:p>
        </w:tc>
      </w:tr>
      <w:tr>
        <w:tblPrEx>
          <w:shd w:val="clear" w:color="auto" w:fill="auto"/>
          <w:tblCellMar>
            <w:top w:w="0" w:type="dxa"/>
            <w:left w:w="108" w:type="dxa"/>
            <w:bottom w:w="0" w:type="dxa"/>
            <w:right w:w="108" w:type="dxa"/>
          </w:tblCellMar>
        </w:tblPrEx>
        <w:trPr>
          <w:trHeight w:val="567" w:hRule="exact"/>
        </w:trPr>
        <w:tc>
          <w:tcPr>
            <w:tcW w:w="82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交通运输用地</w:t>
            </w:r>
          </w:p>
        </w:tc>
        <w:tc>
          <w:tcPr>
            <w:tcW w:w="1410" w:type="pct"/>
            <w:tcBorders>
              <w:top w:val="nil"/>
              <w:left w:val="nil"/>
              <w:bottom w:val="nil"/>
              <w:right w:val="nil"/>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60.3659</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4.08</w:t>
            </w:r>
          </w:p>
        </w:tc>
      </w:tr>
      <w:tr>
        <w:tblPrEx>
          <w:shd w:val="clear" w:color="auto" w:fill="auto"/>
          <w:tblCellMar>
            <w:top w:w="0" w:type="dxa"/>
            <w:left w:w="108" w:type="dxa"/>
            <w:bottom w:w="0" w:type="dxa"/>
            <w:right w:w="108" w:type="dxa"/>
          </w:tblCellMar>
        </w:tblPrEx>
        <w:trPr>
          <w:trHeight w:val="567" w:hRule="exact"/>
        </w:trPr>
        <w:tc>
          <w:tcPr>
            <w:tcW w:w="827" w:type="pct"/>
            <w:vMerge w:val="restar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未利用地</w:t>
            </w: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小计</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56.7464</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3.84</w:t>
            </w:r>
          </w:p>
        </w:tc>
      </w:tr>
      <w:tr>
        <w:tblPrEx>
          <w:shd w:val="clear" w:color="auto" w:fill="auto"/>
          <w:tblCellMar>
            <w:top w:w="0" w:type="dxa"/>
            <w:left w:w="108" w:type="dxa"/>
            <w:bottom w:w="0" w:type="dxa"/>
            <w:right w:w="108" w:type="dxa"/>
          </w:tblCellMar>
        </w:tblPrEx>
        <w:trPr>
          <w:trHeight w:val="747" w:hRule="exact"/>
        </w:trPr>
        <w:tc>
          <w:tcPr>
            <w:tcW w:w="827"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水域及水利设施用地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26.1139</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1.77</w:t>
            </w:r>
          </w:p>
        </w:tc>
      </w:tr>
      <w:tr>
        <w:tblPrEx>
          <w:tblCellMar>
            <w:top w:w="0" w:type="dxa"/>
            <w:left w:w="108" w:type="dxa"/>
            <w:bottom w:w="0" w:type="dxa"/>
            <w:right w:w="108" w:type="dxa"/>
          </w:tblCellMar>
        </w:tblPrEx>
        <w:trPr>
          <w:trHeight w:val="567" w:hRule="exact"/>
        </w:trPr>
        <w:tc>
          <w:tcPr>
            <w:tcW w:w="827" w:type="pct"/>
            <w:vMerge w:val="continue"/>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p>
        </w:tc>
        <w:tc>
          <w:tcPr>
            <w:tcW w:w="162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kern w:val="0"/>
                <w:sz w:val="30"/>
                <w:szCs w:val="30"/>
                <w:u w:val="none"/>
                <w:lang w:val="en-US" w:eastAsia="zh-CN" w:bidi="ar"/>
              </w:rPr>
            </w:pPr>
            <w:r>
              <w:rPr>
                <w:rFonts w:hint="eastAsia" w:ascii="仿宋_GB2312" w:hAnsi="仿宋_GB2312" w:eastAsia="仿宋_GB2312" w:cs="仿宋_GB2312"/>
                <w:i w:val="0"/>
                <w:iCs w:val="0"/>
                <w:color w:val="000000"/>
                <w:kern w:val="0"/>
                <w:sz w:val="30"/>
                <w:szCs w:val="30"/>
                <w:u w:val="none"/>
                <w:lang w:val="en-US" w:eastAsia="zh-CN" w:bidi="ar"/>
              </w:rPr>
              <w:t>其他土地</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30.6325</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2.07</w:t>
            </w:r>
          </w:p>
        </w:tc>
      </w:tr>
      <w:tr>
        <w:tblPrEx>
          <w:tblCellMar>
            <w:top w:w="0" w:type="dxa"/>
            <w:left w:w="108" w:type="dxa"/>
            <w:bottom w:w="0" w:type="dxa"/>
            <w:right w:w="108" w:type="dxa"/>
          </w:tblCellMar>
        </w:tblPrEx>
        <w:trPr>
          <w:trHeight w:val="567" w:hRule="exact"/>
        </w:trPr>
        <w:tc>
          <w:tcPr>
            <w:tcW w:w="24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b/>
                <w:bCs/>
                <w:i w:val="0"/>
                <w:iCs w:val="0"/>
                <w:color w:val="000000"/>
                <w:kern w:val="0"/>
                <w:sz w:val="30"/>
                <w:szCs w:val="30"/>
                <w:u w:val="none"/>
                <w:lang w:val="en-US" w:eastAsia="zh-CN" w:bidi="ar"/>
              </w:rPr>
            </w:pPr>
            <w:r>
              <w:rPr>
                <w:rFonts w:hint="eastAsia" w:ascii="仿宋_GB2312" w:hAnsi="仿宋_GB2312" w:eastAsia="仿宋_GB2312" w:cs="仿宋_GB2312"/>
                <w:b/>
                <w:bCs/>
                <w:i w:val="0"/>
                <w:iCs w:val="0"/>
                <w:color w:val="000000"/>
                <w:kern w:val="0"/>
                <w:sz w:val="30"/>
                <w:szCs w:val="30"/>
                <w:u w:val="none"/>
                <w:lang w:val="en-US" w:eastAsia="zh-CN" w:bidi="ar"/>
              </w:rPr>
              <w:t>合计</w:t>
            </w:r>
          </w:p>
        </w:tc>
        <w:tc>
          <w:tcPr>
            <w:tcW w:w="1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1479.1942</w:t>
            </w:r>
          </w:p>
        </w:tc>
        <w:tc>
          <w:tcPr>
            <w:tcW w:w="11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100.00</w:t>
            </w:r>
          </w:p>
        </w:tc>
      </w:tr>
    </w:tbl>
    <w:p>
      <w:pPr>
        <w:tabs>
          <w:tab w:val="left" w:pos="5893"/>
        </w:tabs>
        <w:bidi w:val="0"/>
        <w:ind w:left="0" w:leftChars="0" w:firstLine="0" w:firstLineChars="0"/>
        <w:jc w:val="center"/>
        <w:rPr>
          <w:rFonts w:hint="eastAsia" w:asciiTheme="majorEastAsia" w:hAnsiTheme="majorEastAsia" w:eastAsiaTheme="majorEastAsia" w:cstheme="majorEastAsia"/>
          <w:sz w:val="24"/>
          <w:szCs w:val="24"/>
          <w:lang w:val="en-US" w:eastAsia="zh-CN"/>
        </w:rPr>
      </w:pPr>
    </w:p>
    <w:p>
      <w:pPr>
        <w:numPr>
          <w:ilvl w:val="0"/>
          <w:numId w:val="0"/>
        </w:numPr>
        <w:tabs>
          <w:tab w:val="left" w:pos="5893"/>
        </w:tabs>
        <w:bidi w:val="0"/>
        <w:ind w:leftChars="200"/>
        <w:rPr>
          <w:rFonts w:hint="eastAsia" w:ascii="Times New Roman" w:hAnsi="Times New Roman" w:cs="Times New Roman"/>
          <w:lang w:val="en-US" w:eastAsia="zh-CN"/>
        </w:rPr>
      </w:pPr>
      <w:r>
        <w:rPr>
          <w:rFonts w:hint="eastAsia" w:ascii="Times New Roman" w:hAnsi="Times New Roman" w:cs="Times New Roman"/>
          <w:lang w:val="en-US" w:eastAsia="zh-CN"/>
        </w:rPr>
        <w:t>3、权属情况</w:t>
      </w:r>
    </w:p>
    <w:p>
      <w:pPr>
        <w:bidi w:val="0"/>
        <w:rPr>
          <w:rFonts w:hint="eastAsia" w:ascii="Times New Roman" w:hAnsi="Times New Roman" w:cs="Times New Roman"/>
          <w:lang w:val="en-US" w:eastAsia="zh-CN"/>
        </w:rPr>
      </w:pPr>
      <w:r>
        <w:rPr>
          <w:rFonts w:hint="eastAsia"/>
          <w:lang w:val="en-US" w:eastAsia="zh-CN"/>
        </w:rPr>
        <w:t>根据已征收统计数据，本方案成片开发范围内土地权属清晰，不存在争议。本成片开发范围总面积为1479.1942公顷，涉及集体土地面积为1017.4735公顷，占总面积的68.79%，涉及国有土地面积为461.7206，占总面积的31.21%。</w:t>
      </w:r>
      <w:r>
        <w:rPr>
          <w:rFonts w:hint="eastAsia" w:ascii="Times New Roman" w:hAnsi="Times New Roman" w:cs="Times New Roman"/>
          <w:lang w:val="en-US" w:eastAsia="zh-CN"/>
        </w:rPr>
        <w:t>具体情况见表3</w:t>
      </w:r>
    </w:p>
    <w:p>
      <w:pPr>
        <w:tabs>
          <w:tab w:val="left" w:pos="5893"/>
        </w:tabs>
        <w:bidi w:val="0"/>
        <w:ind w:left="0" w:leftChars="0"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表3 成片开发范围内土地权属统计表</w:t>
      </w:r>
    </w:p>
    <w:p>
      <w:pPr>
        <w:bidi w:val="0"/>
        <w:jc w:val="right"/>
        <w:rPr>
          <w:rFonts w:hint="default" w:ascii="Times New Roman" w:hAnsi="Times New Roman" w:cs="Times New Roman"/>
          <w:lang w:val="en-US" w:eastAsia="zh-CN"/>
        </w:rPr>
      </w:pPr>
      <w:r>
        <w:rPr>
          <w:rFonts w:hint="eastAsia" w:ascii="Times New Roman" w:hAnsi="Times New Roman" w:cs="Times New Roman"/>
          <w:b/>
          <w:bCs/>
          <w:sz w:val="28"/>
          <w:szCs w:val="21"/>
          <w:lang w:val="en-US" w:eastAsia="zh-CN"/>
        </w:rPr>
        <w:t>单位：公顷，%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权属性质</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面积</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国有土地</w:t>
            </w:r>
          </w:p>
        </w:tc>
        <w:tc>
          <w:tcPr>
            <w:tcW w:w="284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461.7206</w:t>
            </w:r>
          </w:p>
        </w:tc>
        <w:tc>
          <w:tcPr>
            <w:tcW w:w="284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31.21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集体土地</w:t>
            </w:r>
          </w:p>
        </w:tc>
        <w:tc>
          <w:tcPr>
            <w:tcW w:w="284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1017.4735</w:t>
            </w:r>
          </w:p>
        </w:tc>
        <w:tc>
          <w:tcPr>
            <w:tcW w:w="284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68.79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合计</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1479.1942</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100.00</w:t>
            </w:r>
          </w:p>
        </w:tc>
      </w:tr>
    </w:tbl>
    <w:p>
      <w:pPr>
        <w:bidi w:val="0"/>
        <w:rPr>
          <w:rFonts w:hint="default"/>
          <w:lang w:val="en-US" w:eastAsia="zh-CN"/>
        </w:rPr>
      </w:pPr>
    </w:p>
    <w:p>
      <w:pPr>
        <w:numPr>
          <w:ilvl w:val="0"/>
          <w:numId w:val="0"/>
        </w:numPr>
        <w:tabs>
          <w:tab w:val="left" w:pos="5893"/>
        </w:tabs>
        <w:bidi w:val="0"/>
        <w:ind w:leftChars="200"/>
        <w:rPr>
          <w:rFonts w:hint="default" w:ascii="Times New Roman" w:hAnsi="Times New Roman" w:cs="Times New Roman"/>
          <w:lang w:val="en-US" w:eastAsia="zh-CN"/>
        </w:rPr>
      </w:pPr>
      <w:r>
        <w:rPr>
          <w:rFonts w:hint="eastAsia" w:ascii="Times New Roman" w:hAnsi="Times New Roman" w:cs="Times New Roman"/>
          <w:lang w:val="en-US" w:eastAsia="zh-CN"/>
        </w:rPr>
        <w:t>4、实际开发建设状况</w:t>
      </w:r>
    </w:p>
    <w:p>
      <w:pPr>
        <w:bidi w:val="0"/>
        <w:rPr>
          <w:rFonts w:hint="default"/>
          <w:lang w:val="en-US" w:eastAsia="zh-CN"/>
        </w:rPr>
      </w:pPr>
      <w:r>
        <w:rPr>
          <w:rFonts w:hint="eastAsia"/>
          <w:lang w:val="en-US" w:eastAsia="zh-CN"/>
        </w:rPr>
        <w:t>本成片开发方案中各片区实际已开发建设土地面积为627.7786公顷，占总面积的42.44%.</w:t>
      </w:r>
    </w:p>
    <w:p>
      <w:pPr>
        <w:numPr>
          <w:ilvl w:val="0"/>
          <w:numId w:val="0"/>
        </w:numPr>
        <w:tabs>
          <w:tab w:val="center" w:pos="4155"/>
        </w:tabs>
        <w:bidi w:val="0"/>
        <w:ind w:leftChars="200"/>
        <w:rPr>
          <w:rFonts w:hint="eastAsia" w:ascii="Times New Roman" w:hAnsi="Times New Roman" w:cs="Times New Roman"/>
          <w:lang w:val="en-US" w:eastAsia="zh-CN"/>
        </w:rPr>
      </w:pPr>
      <w:r>
        <w:rPr>
          <w:rFonts w:hint="eastAsia" w:ascii="Times New Roman" w:hAnsi="Times New Roman" w:cs="Times New Roman"/>
          <w:lang w:val="en-US" w:eastAsia="zh-CN"/>
        </w:rPr>
        <w:t>5、拟征收农村集体土地情况</w:t>
      </w:r>
      <w:r>
        <w:rPr>
          <w:rFonts w:hint="eastAsia" w:ascii="Times New Roman" w:hAnsi="Times New Roman" w:cs="Times New Roman"/>
          <w:lang w:val="en-US" w:eastAsia="zh-CN"/>
        </w:rPr>
        <w:tab/>
      </w:r>
    </w:p>
    <w:p>
      <w:pPr>
        <w:bidi w:val="0"/>
        <w:rPr>
          <w:rFonts w:hint="eastAsia"/>
          <w:lang w:val="en-US" w:eastAsia="zh-CN"/>
        </w:rPr>
      </w:pPr>
      <w:r>
        <w:rPr>
          <w:rFonts w:hint="eastAsia"/>
          <w:lang w:val="en-US" w:eastAsia="zh-CN"/>
        </w:rPr>
        <w:t>本成片开发方案各片区拟征收集体土地总面积为385.5431公顷（2020年承诺纳入成片开发方案的征收面积为130.8871公顷），2021年拟征收土地面积为283.8871公顷，2022年拟征收土地面积为76.2420公顷，2023年拟征收土地面积为25.4140公顷。</w:t>
      </w:r>
    </w:p>
    <w:p>
      <w:pPr>
        <w:rPr>
          <w:rFonts w:hint="eastAsia"/>
          <w:lang w:val="en-US" w:eastAsia="zh-CN"/>
        </w:rPr>
      </w:pPr>
      <w:r>
        <w:rPr>
          <w:rFonts w:hint="eastAsia"/>
          <w:lang w:val="en-US" w:eastAsia="zh-CN"/>
        </w:rPr>
        <w:br w:type="page"/>
      </w:r>
    </w:p>
    <w:p>
      <w:pPr>
        <w:bidi w:val="0"/>
        <w:rPr>
          <w:rFonts w:hint="eastAsia"/>
          <w:lang w:val="en-US" w:eastAsia="zh-CN"/>
        </w:rPr>
      </w:pPr>
    </w:p>
    <w:p>
      <w:pPr>
        <w:tabs>
          <w:tab w:val="left" w:pos="5893"/>
        </w:tabs>
        <w:bidi w:val="0"/>
        <w:ind w:left="0" w:leftChars="0"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表4 成片开发范围拟征收集体土地征收计划</w:t>
      </w:r>
    </w:p>
    <w:p>
      <w:pPr>
        <w:bidi w:val="0"/>
        <w:jc w:val="right"/>
        <w:rPr>
          <w:rFonts w:hint="default" w:ascii="Times New Roman" w:hAnsi="Times New Roman" w:cs="Times New Roman"/>
          <w:lang w:val="en-US" w:eastAsia="zh-CN"/>
        </w:rPr>
      </w:pPr>
      <w:r>
        <w:rPr>
          <w:rFonts w:hint="eastAsia" w:ascii="Times New Roman" w:hAnsi="Times New Roman" w:cs="Times New Roman"/>
          <w:b/>
          <w:bCs/>
          <w:sz w:val="28"/>
          <w:szCs w:val="21"/>
          <w:lang w:val="en-US" w:eastAsia="zh-CN"/>
        </w:rPr>
        <w:t>单位：公顷，%</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842"/>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征收年份</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面积</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2021</w:t>
            </w:r>
          </w:p>
        </w:tc>
        <w:tc>
          <w:tcPr>
            <w:tcW w:w="2842" w:type="dxa"/>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283.8871</w:t>
            </w:r>
          </w:p>
        </w:tc>
        <w:tc>
          <w:tcPr>
            <w:tcW w:w="2842" w:type="dxa"/>
            <w:vAlign w:val="bottom"/>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2022</w:t>
            </w:r>
          </w:p>
        </w:tc>
        <w:tc>
          <w:tcPr>
            <w:tcW w:w="2842" w:type="dxa"/>
            <w:vAlign w:val="center"/>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76.2420</w:t>
            </w:r>
          </w:p>
        </w:tc>
        <w:tc>
          <w:tcPr>
            <w:tcW w:w="2842" w:type="dxa"/>
            <w:vAlign w:val="bottom"/>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2023</w:t>
            </w:r>
          </w:p>
        </w:tc>
        <w:tc>
          <w:tcPr>
            <w:tcW w:w="2842" w:type="dxa"/>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25.4140</w:t>
            </w:r>
          </w:p>
        </w:tc>
        <w:tc>
          <w:tcPr>
            <w:tcW w:w="2842" w:type="dxa"/>
            <w:vAlign w:val="bottom"/>
          </w:tcPr>
          <w:p>
            <w:pPr>
              <w:keepNext w:val="0"/>
              <w:keepLines w:val="0"/>
              <w:pageBreakBefore w:val="0"/>
              <w:widowControl w:val="0"/>
              <w:tabs>
                <w:tab w:val="left" w:pos="5893"/>
              </w:tabs>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合计</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385.5431</w:t>
            </w:r>
          </w:p>
        </w:tc>
        <w:tc>
          <w:tcPr>
            <w:tcW w:w="284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lang w:val="en-US" w:eastAsia="zh-CN"/>
              </w:rPr>
              <w:t>100.00</w:t>
            </w:r>
          </w:p>
        </w:tc>
      </w:tr>
    </w:tbl>
    <w:p>
      <w:pPr>
        <w:bidi w:val="0"/>
        <w:rPr>
          <w:rFonts w:hint="default"/>
          <w:lang w:val="en-US" w:eastAsia="zh-CN"/>
        </w:rPr>
      </w:pPr>
    </w:p>
    <w:p>
      <w:pPr>
        <w:pStyle w:val="4"/>
        <w:bidi w:val="0"/>
        <w:outlineLvl w:val="1"/>
        <w:rPr>
          <w:rFonts w:hint="eastAsia"/>
          <w:lang w:val="en-US" w:eastAsia="zh-CN"/>
        </w:rPr>
      </w:pPr>
      <w:bookmarkStart w:id="7" w:name="_Toc30874"/>
      <w:r>
        <w:rPr>
          <w:rFonts w:hint="eastAsia"/>
          <w:lang w:val="en-US" w:eastAsia="zh-CN"/>
        </w:rPr>
        <w:t>（二）“三线”管控要求符合情况</w:t>
      </w:r>
      <w:bookmarkEnd w:id="7"/>
    </w:p>
    <w:p>
      <w:pPr>
        <w:bidi w:val="0"/>
        <w:rPr>
          <w:rFonts w:hint="default"/>
          <w:lang w:val="en-US" w:eastAsia="zh-CN"/>
        </w:rPr>
      </w:pPr>
      <w:r>
        <w:rPr>
          <w:rFonts w:hint="default"/>
          <w:lang w:val="en-US" w:eastAsia="zh-CN"/>
        </w:rPr>
        <w:t>本方案与近期江山市国土空间规划成果</w:t>
      </w:r>
      <w:r>
        <w:rPr>
          <w:rFonts w:hint="eastAsia"/>
          <w:lang w:val="en-US" w:eastAsia="zh-CN"/>
        </w:rPr>
        <w:t>（江山市城镇开发边界数据库电子成果数据）</w:t>
      </w:r>
      <w:r>
        <w:rPr>
          <w:rFonts w:hint="default"/>
          <w:lang w:val="en-US" w:eastAsia="zh-CN"/>
        </w:rPr>
        <w:t>进行衔接，拟申请土地征收成片开发的范围</w:t>
      </w:r>
      <w:r>
        <w:rPr>
          <w:rFonts w:hint="eastAsia"/>
          <w:lang w:val="en-US" w:eastAsia="zh-CN"/>
        </w:rPr>
        <w:t>大部分</w:t>
      </w:r>
      <w:r>
        <w:rPr>
          <w:rFonts w:hint="default"/>
          <w:lang w:val="en-US" w:eastAsia="zh-CN"/>
        </w:rPr>
        <w:t>位于国土空间规划划定的城镇开发边界的城镇集中建设区内</w:t>
      </w:r>
      <w:r>
        <w:rPr>
          <w:rFonts w:hint="eastAsia"/>
          <w:lang w:val="en-US" w:eastAsia="zh-CN"/>
        </w:rPr>
        <w:t>，其中编号为CP330881-2021-26、CP330881-2021-27、CP330881-2021-28、CP330881-2021-29、CP330881-2021-36、CP330881-2021-37的片区位于过渡期城镇开发边界的集中建设区外，片区均</w:t>
      </w:r>
      <w:r>
        <w:rPr>
          <w:rFonts w:hint="default"/>
          <w:lang w:val="en-US" w:eastAsia="zh-CN"/>
        </w:rPr>
        <w:t>不占用永久基本农田、不涉及生态保护红线。</w:t>
      </w:r>
    </w:p>
    <w:p>
      <w:pPr>
        <w:pStyle w:val="4"/>
        <w:bidi w:val="0"/>
        <w:outlineLvl w:val="1"/>
        <w:rPr>
          <w:rFonts w:hint="eastAsia"/>
          <w:lang w:val="en-US" w:eastAsia="zh-CN"/>
        </w:rPr>
      </w:pPr>
      <w:bookmarkStart w:id="8" w:name="_Toc27151"/>
      <w:r>
        <w:rPr>
          <w:rFonts w:hint="eastAsia"/>
          <w:lang w:val="en-US" w:eastAsia="zh-CN"/>
        </w:rPr>
        <w:t>（三）土地征收成片开发效益评估</w:t>
      </w:r>
      <w:bookmarkEnd w:id="8"/>
    </w:p>
    <w:p>
      <w:pPr>
        <w:keepNext w:val="0"/>
        <w:keepLines w:val="0"/>
        <w:widowControl/>
        <w:suppressLineNumbers w:val="0"/>
        <w:jc w:val="left"/>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1、土地节约集约利用</w:t>
      </w:r>
    </w:p>
    <w:p>
      <w:pPr>
        <w:keepNext w:val="0"/>
        <w:keepLines w:val="0"/>
        <w:widowControl/>
        <w:suppressLineNumbers w:val="0"/>
        <w:jc w:val="left"/>
      </w:pPr>
      <w:r>
        <w:rPr>
          <w:rFonts w:ascii="仿宋" w:hAnsi="仿宋" w:eastAsia="仿宋" w:cs="仿宋"/>
          <w:color w:val="000000"/>
          <w:kern w:val="0"/>
          <w:sz w:val="30"/>
          <w:szCs w:val="30"/>
          <w:lang w:val="en-US" w:eastAsia="zh-CN" w:bidi="ar"/>
        </w:rPr>
        <w:t>本年度成片开发方案通过合理安排用地规</w:t>
      </w:r>
      <w:r>
        <w:rPr>
          <w:rFonts w:hint="eastAsia" w:ascii="仿宋" w:hAnsi="仿宋" w:eastAsia="仿宋" w:cs="仿宋"/>
          <w:color w:val="000000"/>
          <w:kern w:val="0"/>
          <w:sz w:val="30"/>
          <w:szCs w:val="30"/>
          <w:lang w:val="en-US" w:eastAsia="zh-CN" w:bidi="ar"/>
        </w:rPr>
        <w:t xml:space="preserve">模、结构和布局，优化土地利用空间格局，因地制宜配置用地，提高现有用地使用效益，实现土地利用由粗放型向集约型的根本转变。成片开发对节约集约利用土地有着积极意义，涉及经营性项目建成后，各个单个开发片区将转换为人口、物质生产、商品消费、信息交换等功能的集中地，这种集聚效益将促进各个片区的不断发展。同时，可以在空间上连续、大面积、系统性地供给城镇生产、生活的各类服务功能，充分发挥片区的集聚效益。 </w:t>
      </w:r>
    </w:p>
    <w:p>
      <w:pPr>
        <w:keepNext w:val="0"/>
        <w:keepLines w:val="0"/>
        <w:widowControl/>
        <w:suppressLineNumbers w:val="0"/>
        <w:jc w:val="left"/>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2、社会经济效益</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增加就业机会，提高人均收入，促进社会和谐。本方案成片开发范围拟引进多家制造业企业，可提供大量就业岗位，能创造了新的就业机会。随着企业的入驻，带动区域第三产业的发展，原从事农业生产的居民就业渠道得以拓宽，既增加了农民的收入，也解决了部分剩余劳动力的就业问题，有利于消除社会不稳定因素，对稳定政治、社会大局，加强社会管理等有着重要意义。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推动产业结构优化升级。本次成片开发的实施，促进当地产业结构调整化，引导生产要素向更高效率部门流动，提升资源配置效率与生产效率。同时，在产业结构优化调整的进程中，产业集聚产生的规模报酬递增效应可进一步提升福利水平，由此形成的新产业结构也将为经济高质量发展提供新的发展动力。 </w:t>
      </w:r>
    </w:p>
    <w:p>
      <w:pPr>
        <w:keepNext w:val="0"/>
        <w:keepLines w:val="0"/>
        <w:widowControl/>
        <w:suppressLineNumbers w:val="0"/>
        <w:jc w:val="left"/>
        <w:rPr>
          <w:rFonts w:hint="eastAsia"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保障公共利益，为经济社会持续健康发展保驾护航。本次成片开发的实施，着重保障公共利益，一是为失地农民提供经济、社会保障，二是大力提升区域基础设施配套水平，不仅保障了被征地人员的合法权益，也提高了当地居民工作生活的便利性，有利于推动经济社会持续健康发展。</w:t>
      </w:r>
    </w:p>
    <w:p>
      <w:pPr>
        <w:keepNext w:val="0"/>
        <w:keepLines w:val="0"/>
        <w:widowControl/>
        <w:suppressLineNumbers w:val="0"/>
        <w:jc w:val="left"/>
        <w:rPr>
          <w:rFonts w:hint="default" w:ascii="仿宋" w:hAnsi="仿宋" w:eastAsia="仿宋" w:cs="仿宋"/>
          <w:color w:val="000000"/>
          <w:kern w:val="0"/>
          <w:sz w:val="30"/>
          <w:szCs w:val="30"/>
          <w:lang w:val="en-US" w:eastAsia="zh-CN" w:bidi="ar"/>
        </w:rPr>
      </w:pPr>
      <w:r>
        <w:rPr>
          <w:rFonts w:hint="eastAsia" w:ascii="仿宋" w:hAnsi="仿宋" w:eastAsia="仿宋" w:cs="仿宋"/>
          <w:color w:val="000000"/>
          <w:kern w:val="0"/>
          <w:sz w:val="30"/>
          <w:szCs w:val="30"/>
          <w:lang w:val="en-US" w:eastAsia="zh-CN" w:bidi="ar"/>
        </w:rPr>
        <w:t>3、生态环境</w:t>
      </w:r>
    </w:p>
    <w:p>
      <w:pPr>
        <w:keepNext w:val="0"/>
        <w:keepLines w:val="0"/>
        <w:widowControl/>
        <w:suppressLineNumbers w:val="0"/>
        <w:jc w:val="left"/>
      </w:pPr>
      <w:r>
        <w:rPr>
          <w:rFonts w:ascii="仿宋" w:hAnsi="仿宋" w:eastAsia="仿宋" w:cs="仿宋"/>
          <w:color w:val="000000"/>
          <w:kern w:val="0"/>
          <w:sz w:val="30"/>
          <w:szCs w:val="30"/>
          <w:lang w:val="en-US" w:eastAsia="zh-CN" w:bidi="ar"/>
        </w:rPr>
        <w:t>本成片开发方案涉及各个开发片区范围内，规</w:t>
      </w:r>
      <w:r>
        <w:rPr>
          <w:rFonts w:hint="eastAsia" w:ascii="仿宋" w:hAnsi="仿宋" w:eastAsia="仿宋" w:cs="仿宋"/>
          <w:color w:val="000000"/>
          <w:kern w:val="0"/>
          <w:sz w:val="30"/>
          <w:szCs w:val="30"/>
          <w:lang w:val="en-US" w:eastAsia="zh-CN" w:bidi="ar"/>
        </w:rPr>
        <w:t xml:space="preserve">划新增绿地与开敞空间用地，将提高城镇人居生态环境质量，恢复生态绿化功能，改变城市环境，在减少水源污染、水土保持、涵养水源、降低噪音等方面能发挥显著作用，使各个开发片区范围内生态环境实现良性循环，实现人与自然、经济发展与资源环境协调、可持续发展。 </w:t>
      </w:r>
    </w:p>
    <w:p>
      <w:pPr>
        <w:keepNext w:val="0"/>
        <w:keepLines w:val="0"/>
        <w:widowControl/>
        <w:suppressLineNumbers w:val="0"/>
        <w:jc w:val="left"/>
      </w:pPr>
      <w:r>
        <w:rPr>
          <w:rFonts w:hint="eastAsia" w:ascii="仿宋" w:hAnsi="仿宋" w:eastAsia="仿宋" w:cs="仿宋"/>
          <w:color w:val="000000"/>
          <w:kern w:val="0"/>
          <w:sz w:val="30"/>
          <w:szCs w:val="30"/>
          <w:lang w:val="en-US" w:eastAsia="zh-CN" w:bidi="ar"/>
        </w:rPr>
        <w:t xml:space="preserve">本方案成片开发项目选址充分考虑生态效益，加强耕地特别是基本农田保护，不占用永久基本农田，不涉及各类自然保护区、生态红线和城市饮用水源保护地和重要环境敏感区。对不符合产业规划、环境污染严重、资源消耗高的项目不予准入，引导企业节能降耗、降本增效。经营性建设项目内布置绿地，修建雨污管道，推进污水处理设施提标建设，增强截污治污能力，维护施工扬尘成效，改善周边地区生态环境，实现生态效益和经济效益双赢。 </w:t>
      </w:r>
    </w:p>
    <w:p>
      <w:pPr>
        <w:pStyle w:val="3"/>
        <w:numPr>
          <w:ilvl w:val="0"/>
          <w:numId w:val="6"/>
        </w:numPr>
        <w:bidi w:val="0"/>
        <w:outlineLvl w:val="0"/>
        <w:rPr>
          <w:rFonts w:hint="eastAsia"/>
          <w:lang w:val="en-US" w:eastAsia="zh-CN"/>
        </w:rPr>
      </w:pPr>
      <w:bookmarkStart w:id="9" w:name="_Toc25790"/>
      <w:r>
        <w:rPr>
          <w:rFonts w:hint="eastAsia"/>
          <w:lang w:val="en-US" w:eastAsia="zh-CN"/>
        </w:rPr>
        <w:t>已批准方案实施情况</w:t>
      </w:r>
      <w:bookmarkEnd w:id="9"/>
    </w:p>
    <w:p>
      <w:pPr>
        <w:bidi w:val="0"/>
        <w:rPr>
          <w:rFonts w:hint="default"/>
          <w:lang w:val="en-US" w:eastAsia="zh-CN"/>
        </w:rPr>
      </w:pPr>
      <w:r>
        <w:rPr>
          <w:rFonts w:hint="eastAsia"/>
          <w:lang w:val="en-US" w:eastAsia="zh-CN"/>
        </w:rPr>
        <w:t>江山市无已批准的土地征收成片开发方案。</w:t>
      </w:r>
    </w:p>
    <w:p>
      <w:pPr>
        <w:pStyle w:val="3"/>
        <w:bidi w:val="0"/>
        <w:outlineLvl w:val="0"/>
        <w:rPr>
          <w:rFonts w:hint="eastAsia"/>
          <w:lang w:val="en-US" w:eastAsia="zh-CN"/>
        </w:rPr>
      </w:pPr>
      <w:bookmarkStart w:id="10" w:name="_Toc29626"/>
      <w:r>
        <w:rPr>
          <w:rFonts w:hint="eastAsia"/>
          <w:lang w:val="en-US" w:eastAsia="zh-CN"/>
        </w:rPr>
        <w:t>四、承诺纳入土地征收成片开发方案的事项</w:t>
      </w:r>
      <w:bookmarkEnd w:id="10"/>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江山市2021年度土地征收成片开发方案中，纳入2020年承诺</w:t>
      </w:r>
      <w:r>
        <w:rPr>
          <w:rFonts w:hint="eastAsia" w:ascii="Times New Roman" w:hAnsi="Times New Roman" w:cs="Times New Roman"/>
          <w:lang w:val="en-US" w:eastAsia="zh-CN"/>
        </w:rPr>
        <w:t>项目38个，项目总面积为106.5570公顷，均已纳入江山市2021年度土地征收成片开发方案。</w:t>
      </w:r>
    </w:p>
    <w:p>
      <w:pPr>
        <w:rPr>
          <w:rFonts w:hint="eastAsia"/>
          <w:lang w:val="en-US" w:eastAsia="zh-CN"/>
        </w:rPr>
      </w:pPr>
    </w:p>
    <w:p>
      <w:pPr>
        <w:rPr>
          <w:rFonts w:hint="eastAsia"/>
          <w:lang w:val="en-US" w:eastAsia="zh-CN"/>
        </w:rPr>
      </w:pPr>
    </w:p>
    <w:p>
      <w:pPr>
        <w:rPr>
          <w:rFonts w:hint="eastAsia"/>
          <w:lang w:val="en-US" w:eastAsia="zh-CN"/>
        </w:rPr>
        <w:sectPr>
          <w:pgSz w:w="11910" w:h="16840"/>
          <w:pgMar w:top="1440" w:right="1800" w:bottom="1440" w:left="1800" w:header="0" w:footer="1158" w:gutter="0"/>
          <w:cols w:space="720" w:num="1"/>
        </w:sectPr>
      </w:pPr>
    </w:p>
    <w:p>
      <w:pPr>
        <w:pStyle w:val="3"/>
        <w:bidi w:val="0"/>
        <w:outlineLvl w:val="0"/>
        <w:rPr>
          <w:rFonts w:hint="default"/>
          <w:lang w:val="en-US" w:eastAsia="zh-CN"/>
        </w:rPr>
      </w:pPr>
      <w:bookmarkStart w:id="11" w:name="_Toc17693"/>
      <w:r>
        <w:rPr>
          <w:rFonts w:hint="eastAsia"/>
          <w:lang w:val="en-US" w:eastAsia="zh-CN"/>
        </w:rPr>
        <w:t>五、</w:t>
      </w:r>
      <w:r>
        <w:rPr>
          <w:rFonts w:hint="default"/>
          <w:lang w:val="en-US" w:eastAsia="zh-CN"/>
        </w:rPr>
        <w:t>附表</w:t>
      </w:r>
      <w:bookmarkEnd w:id="11"/>
    </w:p>
    <w:p>
      <w:pPr>
        <w:bidi w:val="0"/>
        <w:jc w:val="center"/>
        <w:rPr>
          <w:rFonts w:hint="eastAsia"/>
          <w:lang w:val="en-US" w:eastAsia="zh-CN"/>
        </w:rPr>
      </w:pPr>
      <w:r>
        <w:rPr>
          <w:rFonts w:hint="eastAsia"/>
          <w:lang w:val="en-US" w:eastAsia="zh-CN"/>
        </w:rPr>
        <w:t>附表1 土地征收成片开发方案片区情况汇总表</w:t>
      </w:r>
    </w:p>
    <w:tbl>
      <w:tblPr>
        <w:tblStyle w:val="12"/>
        <w:tblW w:w="4996" w:type="pct"/>
        <w:tblInd w:w="0" w:type="dxa"/>
        <w:shd w:val="clear" w:color="auto" w:fill="auto"/>
        <w:tblLayout w:type="autofit"/>
        <w:tblCellMar>
          <w:top w:w="0" w:type="dxa"/>
          <w:left w:w="108" w:type="dxa"/>
          <w:bottom w:w="0" w:type="dxa"/>
          <w:right w:w="108" w:type="dxa"/>
        </w:tblCellMar>
      </w:tblPr>
      <w:tblGrid>
        <w:gridCol w:w="997"/>
        <w:gridCol w:w="2856"/>
        <w:gridCol w:w="2432"/>
        <w:gridCol w:w="1800"/>
        <w:gridCol w:w="1664"/>
        <w:gridCol w:w="1128"/>
        <w:gridCol w:w="1650"/>
        <w:gridCol w:w="1638"/>
      </w:tblGrid>
      <w:tr>
        <w:tblPrEx>
          <w:shd w:val="clear" w:color="auto" w:fill="auto"/>
          <w:tblCellMar>
            <w:top w:w="0" w:type="dxa"/>
            <w:left w:w="108" w:type="dxa"/>
            <w:bottom w:w="0" w:type="dxa"/>
            <w:right w:w="108" w:type="dxa"/>
          </w:tblCellMar>
        </w:tblPrEx>
        <w:trPr>
          <w:trHeight w:val="340" w:hRule="atLeast"/>
        </w:trPr>
        <w:tc>
          <w:tcPr>
            <w:tcW w:w="3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开发片区编号</w:t>
            </w:r>
          </w:p>
        </w:tc>
        <w:tc>
          <w:tcPr>
            <w:tcW w:w="10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开发片区名称</w:t>
            </w:r>
          </w:p>
        </w:tc>
        <w:tc>
          <w:tcPr>
            <w:tcW w:w="8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所在乡（镇、街道）或园区名称</w:t>
            </w:r>
          </w:p>
        </w:tc>
        <w:tc>
          <w:tcPr>
            <w:tcW w:w="6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功能定位和主要用途</w:t>
            </w:r>
          </w:p>
        </w:tc>
        <w:tc>
          <w:tcPr>
            <w:tcW w:w="5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土地总面积</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000000"/>
                <w:sz w:val="24"/>
                <w:szCs w:val="24"/>
                <w:u w:val="none"/>
              </w:rPr>
            </w:pPr>
          </w:p>
        </w:tc>
        <w:tc>
          <w:tcPr>
            <w:tcW w:w="5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拟征收农民</w:t>
            </w:r>
            <w:r>
              <w:rPr>
                <w:rStyle w:val="19"/>
                <w:rFonts w:eastAsia="宋体"/>
                <w:sz w:val="24"/>
                <w:szCs w:val="24"/>
                <w:lang w:val="en-US" w:eastAsia="zh-CN" w:bidi="ar"/>
              </w:rPr>
              <w:br w:type="textWrapping"/>
            </w:r>
            <w:r>
              <w:rPr>
                <w:rStyle w:val="20"/>
                <w:sz w:val="24"/>
                <w:szCs w:val="24"/>
                <w:lang w:val="en-US" w:eastAsia="zh-CN" w:bidi="ar"/>
              </w:rPr>
              <w:t>集体土地面</w:t>
            </w:r>
            <w:r>
              <w:rPr>
                <w:rStyle w:val="19"/>
                <w:rFonts w:eastAsia="宋体"/>
                <w:sz w:val="24"/>
                <w:szCs w:val="24"/>
                <w:lang w:val="en-US" w:eastAsia="zh-CN" w:bidi="ar"/>
              </w:rPr>
              <w:br w:type="textWrapping"/>
            </w:r>
            <w:r>
              <w:rPr>
                <w:rStyle w:val="20"/>
                <w:sz w:val="24"/>
                <w:szCs w:val="24"/>
                <w:lang w:val="en-US" w:eastAsia="zh-CN" w:bidi="ar"/>
              </w:rPr>
              <w:t>积</w:t>
            </w:r>
          </w:p>
        </w:tc>
        <w:tc>
          <w:tcPr>
            <w:tcW w:w="57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公益性用地面积及比例</w:t>
            </w:r>
          </w:p>
        </w:tc>
      </w:tr>
      <w:tr>
        <w:tblPrEx>
          <w:shd w:val="clear" w:color="auto" w:fill="auto"/>
          <w:tblCellMar>
            <w:top w:w="0" w:type="dxa"/>
            <w:left w:w="108" w:type="dxa"/>
            <w:bottom w:w="0" w:type="dxa"/>
            <w:right w:w="108" w:type="dxa"/>
          </w:tblCellMar>
        </w:tblPrEx>
        <w:trPr>
          <w:trHeight w:val="480" w:hRule="atLeast"/>
        </w:trPr>
        <w:tc>
          <w:tcPr>
            <w:tcW w:w="3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10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8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6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5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其中耕地面积</w:t>
            </w:r>
          </w:p>
        </w:tc>
        <w:tc>
          <w:tcPr>
            <w:tcW w:w="5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c>
          <w:tcPr>
            <w:tcW w:w="57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江东新城片区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双塔街道、虎山街道、碗窑</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居住配套中心区</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290.4513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99.4343 </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71.3762</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43.73%</w:t>
            </w:r>
          </w:p>
        </w:tc>
      </w:tr>
      <w:tr>
        <w:tblPrEx>
          <w:shd w:val="clear" w:color="auto" w:fill="auto"/>
          <w:tblCellMar>
            <w:top w:w="0" w:type="dxa"/>
            <w:left w:w="108" w:type="dxa"/>
            <w:bottom w:w="0" w:type="dxa"/>
            <w:right w:w="108" w:type="dxa"/>
          </w:tblCellMar>
        </w:tblPrEx>
        <w:trPr>
          <w:trHeight w:val="4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城南1号片区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虎山街道、清湖街道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工业、商业、居住功能复合区</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510.8082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73.7535 </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20.6102</w:t>
            </w:r>
          </w:p>
        </w:tc>
        <w:tc>
          <w:tcPr>
            <w:tcW w:w="163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4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城南2号片区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虎山街道、清湖街道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工业、商业、居住功能复合区</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29.2603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1.8170 </w:t>
            </w:r>
          </w:p>
        </w:tc>
        <w:tc>
          <w:tcPr>
            <w:tcW w:w="58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7.8052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9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4</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江东1号工业片区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131.5682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34.8535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29.5433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江东2号工业片区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7.3296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0.1432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2.3359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6</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贺村金塘山片区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14.1032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7.5285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4.1529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7</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贺村莲花山1号片区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清湖街道、贺村镇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65.4153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33.6638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2.1575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8</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贺村莲花山2号片区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17.3476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1.9039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2.9545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9</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贺村莲花山3号片区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83.5615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23.0716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31.3540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10</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贺村莲花山4号工业片区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31.7256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7.0219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0.7382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85.41%</w:t>
            </w: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11</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贺村集镇1号片区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36.6153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2.8731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2.1006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62.51%</w:t>
            </w: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12</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贺村集镇2号片区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55.8651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33.2950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2.5722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65.74%</w:t>
            </w: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13</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贺村集镇3号片区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7.9197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2.7944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1.6014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40.34%</w:t>
            </w: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14</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虎山街道1号片区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24.1589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9.6523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10.0105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虎山街道2号片区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居住配套区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8.0838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0.5019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0.2087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63.25%</w:t>
            </w:r>
          </w:p>
        </w:tc>
      </w:tr>
      <w:tr>
        <w:tblPrEx>
          <w:shd w:val="clear" w:color="auto" w:fill="auto"/>
          <w:tblCellMar>
            <w:top w:w="0" w:type="dxa"/>
            <w:left w:w="108" w:type="dxa"/>
            <w:bottom w:w="0" w:type="dxa"/>
            <w:right w:w="108" w:type="dxa"/>
          </w:tblCellMar>
        </w:tblPrEx>
        <w:trPr>
          <w:trHeight w:val="48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16</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虎山街道四方坞工业区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3.4090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0.0104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1.1668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17</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14.3312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0.0296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3.9255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43%</w:t>
            </w: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18</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江郎山居文旅片区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清湖街道、石门镇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文旅、商业区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29.8307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1.0720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0.3648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firstLine="480" w:firstLineChars="200"/>
              <w:jc w:val="center"/>
              <w:textAlignment w:val="top"/>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峡口镇片区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14.4642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6.1449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1.2263</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20</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长台集镇片区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长台镇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5.1348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7.7264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0.4258</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21</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石门镇片区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石门镇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2.5743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0.8022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1.2177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22</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11.9960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0.1224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3.3334</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23</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虎山街道3号片区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虎山街道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28.9912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1.6854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23.0413</w:t>
            </w:r>
            <w:r>
              <w:rPr>
                <w:rFonts w:hint="default" w:ascii="Times New Roman" w:hAnsi="Times New Roman" w:eastAsia="宋体" w:cs="Times New Roman"/>
                <w:i w:val="0"/>
                <w:iCs w:val="0"/>
                <w:color w:val="000000"/>
                <w:kern w:val="0"/>
                <w:sz w:val="24"/>
                <w:szCs w:val="24"/>
                <w:u w:val="none"/>
                <w:lang w:val="en-US" w:eastAsia="zh-CN" w:bidi="ar"/>
              </w:rPr>
              <w:t xml:space="preserve">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24</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江东3号工业片区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13.3849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6.0495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4.2749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四都集镇片区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四都镇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1.7098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1.3256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2.6067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26</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江郎山旅游服务区片</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石门镇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旅游服务区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3.8468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0.4265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27</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保安野度片区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保安乡</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旅游服务区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1.4018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1.8170 </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3.8468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28</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太阳神谷片区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张村乡</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旅游服务区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2.6067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0.4565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2.6067</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29</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贺村商住片区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旅游服务区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1.1985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0.5614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1.1985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30</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双塔街道1号片区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双塔街道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18.5138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8.4554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7.7042</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31</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上余镇2号片区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上余镇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3.8030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2.5</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0.9721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32</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贺村1号工业片区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1.4757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0.4824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0.5439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33</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贺村2号工业片区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贺村镇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0.8319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0.2563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0.2685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34</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峡口居住片区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峡口镇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居住区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0.7043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0.3450</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0.1279</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35</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新塘边镇片区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新塘边镇</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1.3291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0.8453</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0.4571</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shd w:val="clear" w:color="auto" w:fill="auto"/>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36</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清湖片区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清湖街道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1.5154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0.7846</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1.0455</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27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37</w:t>
            </w:r>
          </w:p>
        </w:tc>
        <w:tc>
          <w:tcPr>
            <w:tcW w:w="10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双塔街道3号片区</w:t>
            </w:r>
          </w:p>
        </w:tc>
        <w:tc>
          <w:tcPr>
            <w:tcW w:w="8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双塔街道</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工业区</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1.9274 </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1.1564</w:t>
            </w: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1.3606</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r>
      <w:tr>
        <w:tblPrEx>
          <w:tblCellMar>
            <w:top w:w="0" w:type="dxa"/>
            <w:left w:w="108" w:type="dxa"/>
            <w:bottom w:w="0" w:type="dxa"/>
            <w:right w:w="108" w:type="dxa"/>
          </w:tblCellMar>
        </w:tblPrEx>
        <w:trPr>
          <w:trHeight w:val="270" w:hRule="atLeast"/>
        </w:trPr>
        <w:tc>
          <w:tcPr>
            <w:tcW w:w="285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1461.7411</w:t>
            </w:r>
          </w:p>
        </w:tc>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p>
        </w:tc>
        <w:tc>
          <w:tcPr>
            <w:tcW w:w="5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eastAsia="宋体" w:cs="Times New Roman"/>
                <w:i w:val="0"/>
                <w:iCs w:val="0"/>
                <w:color w:val="000000"/>
                <w:kern w:val="0"/>
                <w:sz w:val="24"/>
                <w:szCs w:val="24"/>
                <w:u w:val="none"/>
                <w:lang w:val="en-US" w:eastAsia="zh-CN" w:bidi="ar"/>
              </w:rPr>
              <w:t>284.6880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bl>
    <w:p>
      <w:pPr>
        <w:numPr>
          <w:ilvl w:val="0"/>
          <w:numId w:val="0"/>
        </w:numPr>
        <w:ind w:leftChars="200"/>
        <w:rPr>
          <w:rFonts w:hint="default"/>
          <w:lang w:eastAsia="zh-CN"/>
        </w:rPr>
        <w:sectPr>
          <w:pgSz w:w="16840" w:h="11910" w:orient="landscape"/>
          <w:pgMar w:top="1800" w:right="1440" w:bottom="1800" w:left="1440" w:header="0" w:footer="1158" w:gutter="0"/>
          <w:cols w:space="720" w:num="1"/>
        </w:sectPr>
      </w:pPr>
    </w:p>
    <w:p>
      <w:pPr>
        <w:numPr>
          <w:ilvl w:val="0"/>
          <w:numId w:val="0"/>
        </w:numPr>
        <w:ind w:leftChars="200"/>
        <w:rPr>
          <w:rFonts w:hint="default"/>
          <w:lang w:eastAsia="zh-CN"/>
        </w:rPr>
      </w:pPr>
    </w:p>
    <w:p>
      <w:pPr>
        <w:bidi w:val="0"/>
        <w:jc w:val="center"/>
        <w:rPr>
          <w:rFonts w:hint="default"/>
          <w:lang w:val="en-US" w:eastAsia="zh-CN"/>
        </w:rPr>
      </w:pPr>
      <w:r>
        <w:rPr>
          <w:rFonts w:hint="eastAsia"/>
          <w:lang w:val="en-US" w:eastAsia="zh-CN"/>
        </w:rPr>
        <w:t xml:space="preserve">附表2 </w:t>
      </w:r>
      <w:r>
        <w:rPr>
          <w:rFonts w:hint="default"/>
          <w:lang w:val="en-US" w:eastAsia="zh-CN"/>
        </w:rPr>
        <w:t>拟申请土地征收成片开发基本信息表</w:t>
      </w:r>
    </w:p>
    <w:p>
      <w:pPr>
        <w:spacing w:before="171"/>
        <w:ind w:left="254" w:right="0" w:firstLine="0"/>
        <w:jc w:val="right"/>
        <w:rPr>
          <w:rFonts w:hint="default" w:ascii="Times New Roman" w:hAnsi="Times New Roman" w:eastAsia="宋体" w:cs="Times New Roman"/>
          <w:sz w:val="18"/>
        </w:rPr>
      </w:pPr>
      <w:r>
        <w:rPr>
          <w:rFonts w:hint="default" w:ascii="Times New Roman" w:hAnsi="Times New Roman" w:eastAsia="宋体" w:cs="Times New Roman"/>
          <w:sz w:val="18"/>
        </w:rPr>
        <w:t>单位：公顷（</w:t>
      </w:r>
      <w:r>
        <w:rPr>
          <w:rFonts w:hint="default" w:ascii="Times New Roman" w:hAnsi="Times New Roman" w:eastAsia="Times New Roman" w:cs="Times New Roman"/>
          <w:sz w:val="18"/>
        </w:rPr>
        <w:t>0.00</w:t>
      </w:r>
      <w:r>
        <w:rPr>
          <w:rFonts w:hint="default" w:ascii="Times New Roman" w:hAnsi="Times New Roman" w:eastAsia="宋体" w:cs="Times New Roman"/>
          <w:sz w:val="18"/>
        </w:rPr>
        <w:t>）、</w:t>
      </w:r>
      <w:r>
        <w:rPr>
          <w:rFonts w:hint="default" w:ascii="Times New Roman" w:hAnsi="Times New Roman" w:eastAsia="Times New Roman" w:cs="Times New Roman"/>
          <w:sz w:val="18"/>
        </w:rPr>
        <w:t>%</w:t>
      </w:r>
      <w:r>
        <w:rPr>
          <w:rFonts w:hint="default" w:ascii="Times New Roman" w:hAnsi="Times New Roman" w:eastAsia="宋体" w:cs="Times New Roman"/>
          <w:sz w:val="18"/>
        </w:rPr>
        <w:t>（</w:t>
      </w:r>
      <w:r>
        <w:rPr>
          <w:rFonts w:hint="default" w:ascii="Times New Roman" w:hAnsi="Times New Roman" w:eastAsia="Times New Roman" w:cs="Times New Roman"/>
          <w:sz w:val="18"/>
        </w:rPr>
        <w:t>0.00</w:t>
      </w:r>
      <w:r>
        <w:rPr>
          <w:rFonts w:hint="default" w:ascii="Times New Roman" w:hAnsi="Times New Roman" w:eastAsia="宋体" w:cs="Times New Roman"/>
          <w:sz w:val="18"/>
        </w:rPr>
        <w:t>）、个</w:t>
      </w:r>
    </w:p>
    <w:tbl>
      <w:tblPr>
        <w:tblStyle w:val="12"/>
        <w:tblW w:w="8940" w:type="dxa"/>
        <w:tblInd w:w="93" w:type="dxa"/>
        <w:shd w:val="clear" w:color="auto" w:fill="auto"/>
        <w:tblLayout w:type="autofit"/>
        <w:tblCellMar>
          <w:top w:w="0" w:type="dxa"/>
          <w:left w:w="108" w:type="dxa"/>
          <w:bottom w:w="0" w:type="dxa"/>
          <w:right w:w="108" w:type="dxa"/>
        </w:tblCellMar>
      </w:tblPr>
      <w:tblGrid>
        <w:gridCol w:w="3105"/>
        <w:gridCol w:w="4125"/>
        <w:gridCol w:w="1710"/>
      </w:tblGrid>
      <w:tr>
        <w:tblPrEx>
          <w:shd w:val="clear" w:color="auto" w:fill="auto"/>
          <w:tblCellMar>
            <w:top w:w="0" w:type="dxa"/>
            <w:left w:w="108" w:type="dxa"/>
            <w:bottom w:w="0" w:type="dxa"/>
            <w:right w:w="108" w:type="dxa"/>
          </w:tblCellMar>
        </w:tblPrEx>
        <w:trPr>
          <w:trHeight w:val="27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项目</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内容</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备注</w:t>
            </w: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方案编号</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CP3308812021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所涉市、县（市、区）名称</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宋体" w:cs="Times New Roman"/>
                <w:i w:val="0"/>
                <w:iCs w:val="0"/>
                <w:color w:val="000000"/>
                <w:sz w:val="21"/>
                <w:szCs w:val="21"/>
                <w:u w:val="none"/>
                <w:lang w:val="en-US" w:eastAsia="zh-CN"/>
              </w:rPr>
            </w:pPr>
            <w:r>
              <w:rPr>
                <w:rFonts w:hint="eastAsia" w:ascii="宋体" w:hAnsi="宋体" w:eastAsia="宋体" w:cs="宋体"/>
                <w:i w:val="0"/>
                <w:iCs w:val="0"/>
                <w:color w:val="000000"/>
                <w:kern w:val="0"/>
                <w:sz w:val="21"/>
                <w:szCs w:val="21"/>
                <w:u w:val="none"/>
                <w:lang w:val="en-US" w:eastAsia="zh-CN" w:bidi="ar"/>
              </w:rPr>
              <w:t>江山市</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包含单个成片开发方案数量</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土地总面积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1461.7411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其中，农用地面积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629.2931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其中，耕地面积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366.3195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建设用地面积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793.147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未利用地面积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56.7464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拟征收集体土地面积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385.5431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征收计划：2021年</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283.8871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2022年</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76.2420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2023年</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25.4140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开发建设情况</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1013.3217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其中：已建成区面积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627.7786</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在建区面积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eastAsia"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规划建设区面积</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top"/>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385.5431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left"/>
              <w:rPr>
                <w:rFonts w:hint="default" w:ascii="Times New Roman" w:hAnsi="Times New Roman" w:eastAsia="宋体" w:cs="Times New Roman"/>
                <w:i w:val="0"/>
                <w:iCs w:val="0"/>
                <w:color w:val="000000"/>
                <w:sz w:val="21"/>
                <w:szCs w:val="21"/>
                <w:u w:val="none"/>
              </w:rPr>
            </w:pPr>
          </w:p>
        </w:tc>
      </w:tr>
      <w:tr>
        <w:tblPrEx>
          <w:tblCellMar>
            <w:top w:w="0" w:type="dxa"/>
            <w:left w:w="108" w:type="dxa"/>
            <w:bottom w:w="0" w:type="dxa"/>
            <w:right w:w="108" w:type="dxa"/>
          </w:tblCellMar>
        </w:tblPrEx>
        <w:trPr>
          <w:trHeight w:val="300" w:hRule="atLeast"/>
        </w:trPr>
        <w:tc>
          <w:tcPr>
            <w:tcW w:w="310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公益性用地面积及比例</w:t>
            </w:r>
          </w:p>
        </w:tc>
        <w:tc>
          <w:tcPr>
            <w:tcW w:w="41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475.0659</w:t>
            </w:r>
          </w:p>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left"/>
              <w:rPr>
                <w:rFonts w:hint="eastAsia" w:ascii="宋体" w:hAnsi="宋体" w:eastAsia="宋体" w:cs="宋体"/>
                <w:i w:val="0"/>
                <w:iCs w:val="0"/>
                <w:color w:val="000000"/>
                <w:sz w:val="21"/>
                <w:szCs w:val="21"/>
                <w:u w:val="none"/>
              </w:rPr>
            </w:pPr>
          </w:p>
        </w:tc>
      </w:tr>
    </w:tbl>
    <w:p>
      <w:pPr>
        <w:tabs>
          <w:tab w:val="left" w:pos="1051"/>
        </w:tabs>
        <w:spacing w:before="0"/>
        <w:ind w:left="0" w:right="477" w:firstLine="0"/>
        <w:jc w:val="center"/>
        <w:rPr>
          <w:rFonts w:hint="default" w:ascii="Times New Roman" w:hAnsi="Times New Roman" w:eastAsia="黑体" w:cs="Times New Roman"/>
          <w:sz w:val="28"/>
        </w:rPr>
      </w:pPr>
    </w:p>
    <w:p>
      <w:pPr>
        <w:rPr>
          <w:rFonts w:hint="default" w:ascii="Times New Roman" w:hAnsi="Times New Roman" w:eastAsia="黑体" w:cs="Times New Roman"/>
          <w:sz w:val="28"/>
        </w:rPr>
      </w:pPr>
      <w:r>
        <w:rPr>
          <w:rFonts w:hint="default" w:ascii="Times New Roman" w:hAnsi="Times New Roman" w:eastAsia="黑体" w:cs="Times New Roman"/>
          <w:sz w:val="28"/>
        </w:rPr>
        <w:br w:type="page"/>
      </w:r>
    </w:p>
    <w:p>
      <w:pPr>
        <w:bidi w:val="0"/>
        <w:jc w:val="center"/>
        <w:rPr>
          <w:rFonts w:hint="default"/>
          <w:lang w:val="en-US" w:eastAsia="zh-CN"/>
        </w:rPr>
      </w:pPr>
      <w:r>
        <w:rPr>
          <w:rFonts w:hint="eastAsia"/>
          <w:lang w:val="en-US" w:eastAsia="zh-CN"/>
        </w:rPr>
        <w:t xml:space="preserve">附表3 </w:t>
      </w:r>
      <w:r>
        <w:rPr>
          <w:rFonts w:hint="default"/>
          <w:lang w:val="en-US" w:eastAsia="zh-CN"/>
        </w:rPr>
        <w:t>已批准成片开发方案年度实施计划执行情况统计表</w:t>
      </w:r>
    </w:p>
    <w:p>
      <w:pPr>
        <w:pStyle w:val="7"/>
        <w:rPr>
          <w:rFonts w:hint="default" w:ascii="Times New Roman" w:hAnsi="Times New Roman" w:cs="Times New Roman"/>
          <w:sz w:val="18"/>
        </w:rPr>
      </w:pPr>
    </w:p>
    <w:tbl>
      <w:tblPr>
        <w:tblStyle w:val="12"/>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1"/>
        <w:gridCol w:w="1547"/>
        <w:gridCol w:w="894"/>
        <w:gridCol w:w="949"/>
        <w:gridCol w:w="884"/>
        <w:gridCol w:w="1043"/>
        <w:gridCol w:w="876"/>
        <w:gridCol w:w="814"/>
        <w:gridCol w:w="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6" w:hRule="atLeast"/>
        </w:trPr>
        <w:tc>
          <w:tcPr>
            <w:tcW w:w="258" w:type="pct"/>
            <w:vMerge w:val="restart"/>
          </w:tcPr>
          <w:p>
            <w:pPr>
              <w:pStyle w:val="17"/>
              <w:keepNext w:val="0"/>
              <w:keepLines w:val="0"/>
              <w:pageBreakBefore w:val="0"/>
              <w:widowControl w:val="0"/>
              <w:kinsoku/>
              <w:wordWrap/>
              <w:overflowPunct/>
              <w:topLinePunct w:val="0"/>
              <w:autoSpaceDE/>
              <w:autoSpaceDN/>
              <w:bidi w:val="0"/>
              <w:adjustRightInd/>
              <w:snapToGrid/>
              <w:spacing w:before="145" w:line="240" w:lineRule="auto"/>
              <w:ind w:left="114" w:right="127" w:firstLine="0" w:firstLineChars="0"/>
              <w:textAlignment w:val="auto"/>
              <w:rPr>
                <w:sz w:val="18"/>
              </w:rPr>
            </w:pPr>
            <w:r>
              <w:rPr>
                <w:sz w:val="18"/>
              </w:rPr>
              <w:t>序号</w:t>
            </w:r>
          </w:p>
        </w:tc>
        <w:tc>
          <w:tcPr>
            <w:tcW w:w="928" w:type="pct"/>
            <w:vMerge w:val="restart"/>
          </w:tcPr>
          <w:p>
            <w:pPr>
              <w:pStyle w:val="17"/>
              <w:keepNext w:val="0"/>
              <w:keepLines w:val="0"/>
              <w:pageBreakBefore w:val="0"/>
              <w:widowControl w:val="0"/>
              <w:kinsoku/>
              <w:wordWrap/>
              <w:overflowPunct/>
              <w:topLinePunct w:val="0"/>
              <w:autoSpaceDE/>
              <w:autoSpaceDN/>
              <w:bidi w:val="0"/>
              <w:adjustRightInd/>
              <w:snapToGrid/>
              <w:spacing w:before="145" w:line="240" w:lineRule="auto"/>
              <w:ind w:left="252" w:firstLine="0" w:firstLineChars="0"/>
              <w:jc w:val="center"/>
              <w:textAlignment w:val="auto"/>
              <w:rPr>
                <w:sz w:val="18"/>
              </w:rPr>
            </w:pPr>
            <w:r>
              <w:rPr>
                <w:sz w:val="18"/>
              </w:rPr>
              <w:t>方案名称</w:t>
            </w:r>
          </w:p>
        </w:tc>
        <w:tc>
          <w:tcPr>
            <w:tcW w:w="3812" w:type="pct"/>
            <w:gridSpan w:val="7"/>
          </w:tcPr>
          <w:p>
            <w:pPr>
              <w:pStyle w:val="17"/>
              <w:keepNext w:val="0"/>
              <w:keepLines w:val="0"/>
              <w:pageBreakBefore w:val="0"/>
              <w:widowControl w:val="0"/>
              <w:kinsoku/>
              <w:wordWrap/>
              <w:overflowPunct/>
              <w:topLinePunct w:val="0"/>
              <w:autoSpaceDE/>
              <w:autoSpaceDN/>
              <w:bidi w:val="0"/>
              <w:adjustRightInd/>
              <w:snapToGrid/>
              <w:spacing w:before="134" w:line="240" w:lineRule="auto"/>
              <w:ind w:left="2708" w:right="2679" w:firstLine="0" w:firstLineChars="0"/>
              <w:jc w:val="center"/>
              <w:textAlignment w:val="auto"/>
              <w:rPr>
                <w:sz w:val="18"/>
              </w:rPr>
            </w:pPr>
            <w:r>
              <w:rPr>
                <w:sz w:val="18"/>
              </w:rPr>
              <w:t>土地征收计划执行情况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7" w:hRule="atLeast"/>
        </w:trPr>
        <w:tc>
          <w:tcPr>
            <w:tcW w:w="258" w:type="pct"/>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
                <w:szCs w:val="2"/>
              </w:rPr>
            </w:pPr>
          </w:p>
        </w:tc>
        <w:tc>
          <w:tcPr>
            <w:tcW w:w="928" w:type="pct"/>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
                <w:szCs w:val="2"/>
              </w:rPr>
            </w:pPr>
          </w:p>
        </w:tc>
        <w:tc>
          <w:tcPr>
            <w:tcW w:w="536" w:type="pct"/>
          </w:tcPr>
          <w:p>
            <w:pPr>
              <w:pStyle w:val="17"/>
              <w:keepNext w:val="0"/>
              <w:keepLines w:val="0"/>
              <w:pageBreakBefore w:val="0"/>
              <w:widowControl w:val="0"/>
              <w:kinsoku/>
              <w:wordWrap/>
              <w:overflowPunct/>
              <w:topLinePunct w:val="0"/>
              <w:autoSpaceDE/>
              <w:autoSpaceDN/>
              <w:bidi w:val="0"/>
              <w:adjustRightInd/>
              <w:snapToGrid/>
              <w:spacing w:before="135" w:line="240" w:lineRule="auto"/>
              <w:ind w:left="4" w:right="433" w:firstLine="0" w:firstLineChars="0"/>
              <w:jc w:val="center"/>
              <w:textAlignment w:val="auto"/>
              <w:rPr>
                <w:sz w:val="18"/>
              </w:rPr>
            </w:pPr>
            <w:r>
              <w:rPr>
                <w:sz w:val="18"/>
              </w:rPr>
              <w:t>计划征地面积</w:t>
            </w:r>
          </w:p>
        </w:tc>
        <w:tc>
          <w:tcPr>
            <w:tcW w:w="569" w:type="pct"/>
          </w:tcPr>
          <w:p>
            <w:pPr>
              <w:pStyle w:val="17"/>
              <w:keepNext w:val="0"/>
              <w:keepLines w:val="0"/>
              <w:pageBreakBefore w:val="0"/>
              <w:widowControl w:val="0"/>
              <w:kinsoku/>
              <w:wordWrap/>
              <w:overflowPunct/>
              <w:topLinePunct w:val="0"/>
              <w:autoSpaceDE/>
              <w:autoSpaceDN/>
              <w:bidi w:val="0"/>
              <w:adjustRightInd/>
              <w:snapToGrid/>
              <w:spacing w:before="10" w:line="240" w:lineRule="auto"/>
              <w:ind w:left="187" w:right="312" w:firstLine="0" w:firstLineChars="0"/>
              <w:jc w:val="center"/>
              <w:textAlignment w:val="auto"/>
              <w:rPr>
                <w:sz w:val="18"/>
              </w:rPr>
            </w:pPr>
            <w:r>
              <w:rPr>
                <w:sz w:val="18"/>
              </w:rPr>
              <w:t>已批准征地面积</w:t>
            </w:r>
          </w:p>
        </w:tc>
        <w:tc>
          <w:tcPr>
            <w:tcW w:w="530" w:type="pct"/>
          </w:tcPr>
          <w:p>
            <w:pPr>
              <w:pStyle w:val="17"/>
              <w:keepNext w:val="0"/>
              <w:keepLines w:val="0"/>
              <w:pageBreakBefore w:val="0"/>
              <w:widowControl w:val="0"/>
              <w:kinsoku/>
              <w:wordWrap/>
              <w:overflowPunct/>
              <w:topLinePunct w:val="0"/>
              <w:autoSpaceDE/>
              <w:autoSpaceDN/>
              <w:bidi w:val="0"/>
              <w:adjustRightInd/>
              <w:snapToGrid/>
              <w:spacing w:before="135" w:line="240" w:lineRule="auto"/>
              <w:ind w:left="4" w:right="242" w:firstLine="0" w:firstLineChars="0"/>
              <w:jc w:val="center"/>
              <w:textAlignment w:val="auto"/>
              <w:rPr>
                <w:sz w:val="18"/>
              </w:rPr>
            </w:pPr>
            <w:r>
              <w:rPr>
                <w:sz w:val="18"/>
              </w:rPr>
              <w:t>实施完成征地面积</w:t>
            </w:r>
          </w:p>
        </w:tc>
        <w:tc>
          <w:tcPr>
            <w:tcW w:w="625" w:type="pct"/>
          </w:tcPr>
          <w:p>
            <w:pPr>
              <w:pStyle w:val="17"/>
              <w:keepNext w:val="0"/>
              <w:keepLines w:val="0"/>
              <w:pageBreakBefore w:val="0"/>
              <w:widowControl w:val="0"/>
              <w:kinsoku/>
              <w:wordWrap/>
              <w:overflowPunct/>
              <w:topLinePunct w:val="0"/>
              <w:autoSpaceDE/>
              <w:autoSpaceDN/>
              <w:bidi w:val="0"/>
              <w:adjustRightInd/>
              <w:snapToGrid/>
              <w:spacing w:line="240" w:lineRule="auto"/>
              <w:ind w:left="5" w:right="53" w:firstLine="0" w:firstLineChars="0"/>
              <w:jc w:val="center"/>
              <w:textAlignment w:val="auto"/>
              <w:rPr>
                <w:sz w:val="18"/>
              </w:rPr>
            </w:pPr>
            <w:r>
              <w:rPr>
                <w:sz w:val="18"/>
              </w:rPr>
              <w:t>已支付征地资金</w:t>
            </w:r>
          </w:p>
        </w:tc>
        <w:tc>
          <w:tcPr>
            <w:tcW w:w="525" w:type="pct"/>
          </w:tcPr>
          <w:p>
            <w:pPr>
              <w:pStyle w:val="17"/>
              <w:keepNext w:val="0"/>
              <w:keepLines w:val="0"/>
              <w:pageBreakBefore w:val="0"/>
              <w:widowControl w:val="0"/>
              <w:kinsoku/>
              <w:wordWrap/>
              <w:overflowPunct/>
              <w:topLinePunct w:val="0"/>
              <w:autoSpaceDE/>
              <w:autoSpaceDN/>
              <w:bidi w:val="0"/>
              <w:adjustRightInd/>
              <w:snapToGrid/>
              <w:spacing w:line="240" w:lineRule="auto"/>
              <w:ind w:left="4" w:right="53" w:firstLine="0" w:firstLineChars="0"/>
              <w:jc w:val="center"/>
              <w:textAlignment w:val="auto"/>
              <w:rPr>
                <w:sz w:val="18"/>
              </w:rPr>
            </w:pPr>
            <w:r>
              <w:rPr>
                <w:sz w:val="18"/>
              </w:rPr>
              <w:t>已拆迁农村房屋户数</w:t>
            </w:r>
          </w:p>
        </w:tc>
        <w:tc>
          <w:tcPr>
            <w:tcW w:w="488" w:type="pct"/>
          </w:tcPr>
          <w:p>
            <w:pPr>
              <w:pStyle w:val="17"/>
              <w:keepNext w:val="0"/>
              <w:keepLines w:val="0"/>
              <w:pageBreakBefore w:val="0"/>
              <w:widowControl w:val="0"/>
              <w:kinsoku/>
              <w:wordWrap/>
              <w:overflowPunct/>
              <w:topLinePunct w:val="0"/>
              <w:autoSpaceDE/>
              <w:autoSpaceDN/>
              <w:bidi w:val="0"/>
              <w:adjustRightInd/>
              <w:snapToGrid/>
              <w:spacing w:line="240" w:lineRule="auto"/>
              <w:ind w:left="4" w:right="163" w:firstLine="0" w:firstLineChars="0"/>
              <w:jc w:val="center"/>
              <w:textAlignment w:val="auto"/>
              <w:rPr>
                <w:sz w:val="18"/>
              </w:rPr>
            </w:pPr>
            <w:r>
              <w:rPr>
                <w:sz w:val="18"/>
              </w:rPr>
              <w:t>已完成房屋安置户数</w:t>
            </w:r>
          </w:p>
        </w:tc>
        <w:tc>
          <w:tcPr>
            <w:tcW w:w="538" w:type="pct"/>
          </w:tcPr>
          <w:p>
            <w:pPr>
              <w:pStyle w:val="17"/>
              <w:keepNext w:val="0"/>
              <w:keepLines w:val="0"/>
              <w:pageBreakBefore w:val="0"/>
              <w:widowControl w:val="0"/>
              <w:kinsoku/>
              <w:wordWrap/>
              <w:overflowPunct/>
              <w:topLinePunct w:val="0"/>
              <w:autoSpaceDE/>
              <w:autoSpaceDN/>
              <w:bidi w:val="0"/>
              <w:adjustRightInd/>
              <w:snapToGrid/>
              <w:spacing w:line="240" w:lineRule="auto"/>
              <w:ind w:left="4" w:right="63" w:firstLine="0" w:firstLineChars="0"/>
              <w:jc w:val="center"/>
              <w:textAlignment w:val="auto"/>
              <w:rPr>
                <w:sz w:val="18"/>
              </w:rPr>
            </w:pPr>
            <w:r>
              <w:rPr>
                <w:sz w:val="18"/>
              </w:rPr>
              <w:t>已安排被征地农民养老保障人数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58" w:type="pct"/>
          </w:tcPr>
          <w:p>
            <w:pPr>
              <w:pStyle w:val="17"/>
              <w:keepNext w:val="0"/>
              <w:keepLines w:val="0"/>
              <w:pageBreakBefore w:val="0"/>
              <w:widowControl w:val="0"/>
              <w:kinsoku/>
              <w:wordWrap/>
              <w:overflowPunct/>
              <w:topLinePunct w:val="0"/>
              <w:autoSpaceDE/>
              <w:autoSpaceDN/>
              <w:bidi w:val="0"/>
              <w:adjustRightInd/>
              <w:snapToGrid/>
              <w:spacing w:before="80" w:line="240" w:lineRule="auto"/>
              <w:ind w:right="133" w:firstLine="0" w:firstLineChars="0"/>
              <w:jc w:val="right"/>
              <w:textAlignment w:val="auto"/>
              <w:rPr>
                <w:rFonts w:ascii="Times New Roman"/>
                <w:sz w:val="18"/>
              </w:rPr>
            </w:pPr>
            <w:r>
              <w:rPr>
                <w:rFonts w:ascii="Times New Roman"/>
                <w:sz w:val="18"/>
              </w:rPr>
              <w:t>1</w:t>
            </w:r>
          </w:p>
        </w:tc>
        <w:tc>
          <w:tcPr>
            <w:tcW w:w="928"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z w:val="18"/>
                <w:lang w:val="en-US" w:eastAsia="zh-CN"/>
              </w:rPr>
            </w:pPr>
            <w:r>
              <w:rPr>
                <w:rFonts w:hint="eastAsia" w:ascii="Times New Roman"/>
                <w:sz w:val="18"/>
                <w:lang w:val="en-US" w:eastAsia="zh-CN"/>
              </w:rPr>
              <w:t>无</w:t>
            </w:r>
          </w:p>
        </w:tc>
        <w:tc>
          <w:tcPr>
            <w:tcW w:w="536"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569"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530"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625"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525"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488"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c>
          <w:tcPr>
            <w:tcW w:w="538" w:type="pct"/>
          </w:tcPr>
          <w:p>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sz w:val="18"/>
              </w:rPr>
            </w:pPr>
          </w:p>
        </w:tc>
      </w:tr>
    </w:tbl>
    <w:p>
      <w:pPr>
        <w:pStyle w:val="7"/>
        <w:ind w:left="0" w:leftChars="0" w:firstLine="0" w:firstLineChars="0"/>
        <w:rPr>
          <w:rFonts w:hint="default" w:ascii="Times New Roman" w:hAnsi="Times New Roman" w:cs="Times New Roman"/>
          <w:sz w:val="18"/>
        </w:rPr>
      </w:pPr>
    </w:p>
    <w:p>
      <w:pPr>
        <w:spacing w:before="41" w:line="324" w:lineRule="auto"/>
        <w:ind w:left="293" w:leftChars="0" w:right="-94" w:rightChars="0" w:hanging="293" w:hangingChars="163"/>
        <w:jc w:val="left"/>
        <w:rPr>
          <w:rFonts w:hint="default" w:ascii="Times New Roman" w:hAnsi="Times New Roman" w:eastAsia="宋体" w:cs="Times New Roman"/>
          <w:sz w:val="18"/>
          <w:lang w:val="en-US" w:eastAsia="zh-CN"/>
        </w:rPr>
      </w:pPr>
      <w:r>
        <w:rPr>
          <w:rFonts w:hint="default" w:ascii="Times New Roman" w:hAnsi="Times New Roman" w:eastAsia="宋体" w:cs="Times New Roman"/>
          <w:sz w:val="18"/>
        </w:rPr>
        <w:t>注：1.计划的填写依据为经省政府批准的成片开发方案的《成片开发年度实施计划安排表》，见附录4表4.2</w:t>
      </w:r>
      <w:r>
        <w:rPr>
          <w:rFonts w:hint="default" w:ascii="Times New Roman" w:hAnsi="Times New Roman" w:eastAsia="宋体" w:cs="Times New Roman"/>
          <w:sz w:val="18"/>
          <w:lang w:val="en-US" w:eastAsia="zh-CN"/>
        </w:rPr>
        <w:t>.</w:t>
      </w:r>
    </w:p>
    <w:p>
      <w:pPr>
        <w:spacing w:before="41" w:line="324" w:lineRule="auto"/>
        <w:ind w:left="293" w:leftChars="0" w:right="206" w:rightChars="0" w:hanging="293" w:hangingChars="163"/>
        <w:jc w:val="left"/>
        <w:rPr>
          <w:rFonts w:hint="default" w:ascii="Times New Roman" w:hAnsi="Times New Roman" w:eastAsia="宋体" w:cs="Times New Roman"/>
          <w:sz w:val="18"/>
        </w:rPr>
      </w:pPr>
      <w:r>
        <w:rPr>
          <w:rFonts w:hint="default" w:ascii="Times New Roman" w:hAnsi="Times New Roman" w:eastAsia="宋体" w:cs="Times New Roman"/>
          <w:sz w:val="18"/>
        </w:rPr>
        <w:t>2.计划、实际情况以至上年末计划或实际完成该类活动的土地面积比例表示。实际完成比例大于或等于计划完成比例视为完成计划。</w:t>
      </w:r>
    </w:p>
    <w:p>
      <w:pPr>
        <w:tabs>
          <w:tab w:val="left" w:pos="5893"/>
        </w:tabs>
        <w:bidi w:val="0"/>
        <w:ind w:left="290" w:leftChars="0" w:hanging="290" w:hangingChars="163"/>
        <w:rPr>
          <w:rFonts w:hint="default" w:ascii="Times New Roman" w:hAnsi="Times New Roman" w:cs="Times New Roman"/>
          <w:lang w:val="en-US" w:eastAsia="zh-CN"/>
        </w:rPr>
      </w:pPr>
      <w:r>
        <w:rPr>
          <w:rFonts w:hint="default" w:ascii="Times New Roman" w:hAnsi="Times New Roman" w:eastAsia="宋体" w:cs="Times New Roman"/>
          <w:spacing w:val="-1"/>
          <w:sz w:val="18"/>
          <w:lang w:val="en-US" w:eastAsia="zh-CN"/>
        </w:rPr>
        <w:t>3.</w:t>
      </w:r>
      <w:r>
        <w:rPr>
          <w:rFonts w:hint="default" w:ascii="Times New Roman" w:hAnsi="Times New Roman" w:eastAsia="宋体" w:cs="Times New Roman"/>
          <w:spacing w:val="-1"/>
          <w:sz w:val="18"/>
        </w:rPr>
        <w:t>年度计划执行情况为对已批准成片开发方案年度计划执行情况的结论性说明，未完成计划的需说明原因。</w:t>
      </w:r>
    </w:p>
    <w:p>
      <w:pPr>
        <w:rPr>
          <w:rFonts w:hint="default" w:ascii="Times New Roman" w:hAnsi="Times New Roman" w:cs="Times New Roman"/>
          <w:lang w:val="en-US" w:eastAsia="zh-CN"/>
        </w:rPr>
        <w:sectPr>
          <w:pgSz w:w="11910" w:h="16840"/>
          <w:pgMar w:top="1440" w:right="1800" w:bottom="1440" w:left="1800" w:header="0" w:footer="1158" w:gutter="0"/>
          <w:cols w:space="720" w:num="1"/>
        </w:sectPr>
      </w:pPr>
      <w:r>
        <w:rPr>
          <w:rFonts w:hint="default" w:ascii="Times New Roman" w:hAnsi="Times New Roman" w:cs="Times New Roman"/>
          <w:lang w:val="en-US" w:eastAsia="zh-CN"/>
        </w:rPr>
        <w:br w:type="page"/>
      </w:r>
    </w:p>
    <w:p>
      <w:pPr>
        <w:bidi w:val="0"/>
        <w:jc w:val="center"/>
        <w:rPr>
          <w:rFonts w:hint="default"/>
          <w:lang w:val="en-US" w:eastAsia="zh-CN"/>
        </w:rPr>
      </w:pPr>
      <w:r>
        <w:rPr>
          <w:rFonts w:hint="eastAsia"/>
          <w:lang w:val="en-US" w:eastAsia="zh-CN"/>
        </w:rPr>
        <w:t>附表4 以土地征收成片开发情形或承诺纳入土地征收成片开发基本信息表</w:t>
      </w:r>
    </w:p>
    <w:tbl>
      <w:tblPr>
        <w:tblStyle w:val="12"/>
        <w:tblW w:w="4996" w:type="pct"/>
        <w:tblInd w:w="0" w:type="dxa"/>
        <w:shd w:val="clear" w:color="auto" w:fill="auto"/>
        <w:tblLayout w:type="autofit"/>
        <w:tblCellMar>
          <w:top w:w="0" w:type="dxa"/>
          <w:left w:w="108" w:type="dxa"/>
          <w:bottom w:w="0" w:type="dxa"/>
          <w:right w:w="108" w:type="dxa"/>
        </w:tblCellMar>
      </w:tblPr>
      <w:tblGrid>
        <w:gridCol w:w="668"/>
        <w:gridCol w:w="3957"/>
        <w:gridCol w:w="1026"/>
        <w:gridCol w:w="3703"/>
        <w:gridCol w:w="1084"/>
        <w:gridCol w:w="1084"/>
        <w:gridCol w:w="1100"/>
        <w:gridCol w:w="1041"/>
        <w:gridCol w:w="502"/>
      </w:tblGrid>
      <w:tr>
        <w:tblPrEx>
          <w:tblCellMar>
            <w:top w:w="0" w:type="dxa"/>
            <w:left w:w="108" w:type="dxa"/>
            <w:bottom w:w="0" w:type="dxa"/>
            <w:right w:w="108" w:type="dxa"/>
          </w:tblCellMar>
        </w:tblPrEx>
        <w:trPr>
          <w:trHeight w:val="72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地块名称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位置坐落</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已批准批次名称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地块批准面积</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其中征收集体土地面积</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是否符合国土空间规划</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是否占有永久基本农田</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32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双塔2020001-1至2020001-3#区块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双塔街道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0.9721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0.9721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清湖2020002-1、-2(1)、-2(2)#区块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10.9503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10.9503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上余2019001#区块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3.3683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3.3683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上余2020005#区块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6.5551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6.5551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上余2020012#区块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0.3715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0.3715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双塔2020003#区块(-1#)</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双塔街道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江山市2020年度计划第二批次建设用地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7.7042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7.7042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清湖2020005#区块（清湖2020005-1至2020005-3#区块）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1.2123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1.2123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清湖2020004#区块（清湖2020004-1至2020004-6#区块）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11.9088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11.9088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石门2020002#区块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石门镇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6.0376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6.0376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上余2020006#区块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1.3001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1.3001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上余2020011#区块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1.7782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1.7782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0.8079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0.8079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贺村2020003#区块(-1#)</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20.7973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20.7973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峡口2020002区块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峡口镇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2.0030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2.0030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双塔2020002#区块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双塔街道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1.3606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1.3606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新塘边2020001#区块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新塘边镇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0.4571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0.4571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贺村2019005#区块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1.3430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1.3430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18</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上余2020003#区块(上余2020003-1至2020003-4#区块)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1.1802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1.1802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19</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上余2020004#区块（上余2020004-1至2020004-6#区块）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0.6004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0.6004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虎山2019002#区块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虎山街道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0.2995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0.2995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清湖2020001#区块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1.0456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1.0456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FF0000"/>
                <w:sz w:val="24"/>
                <w:szCs w:val="24"/>
                <w:u w:val="none"/>
              </w:rPr>
            </w:pPr>
            <w:r>
              <w:rPr>
                <w:rFonts w:hint="eastAsia" w:ascii="宋体" w:hAnsi="宋体" w:eastAsia="宋体" w:cs="宋体"/>
                <w:i w:val="0"/>
                <w:iCs w:val="0"/>
                <w:color w:val="auto"/>
                <w:kern w:val="0"/>
                <w:sz w:val="24"/>
                <w:szCs w:val="24"/>
                <w:u w:val="none"/>
                <w:lang w:val="en-US" w:eastAsia="zh-CN" w:bidi="ar"/>
              </w:rPr>
              <w:t>否</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贺村2020009#区块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0.2685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0.2685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上余2020007#区块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0.2837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0.2837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虎山2020001#区块（虎山2020001-1至2020001-7#区块）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虎山街道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1.6928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1.6928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清湖2020006#区块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0.2872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0.2872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峡口2020001#区块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峡口镇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江山市2020年度计划第三批次建设用地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0.1279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0.1279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清湖2020002-2(3)#区块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清湖街道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江山市2020年度盘活第一批次建设用地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0.2727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0.2727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双塔2020003#区块(-2#)</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双塔街道</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江山市2020年度盘活第一批次建设用地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0.2601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0.2601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贺村2020003#区块(-2#)</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江山市2020年度盘活第一批次建设用地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0.3917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0.3917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贺村2020004#区块(-10#)</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江山市2020年度盘活第一批次建设用地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0.1991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0.1991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贺村2020006#区块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2.9545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2.9545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石门2020004#区块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石门镇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3.6112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3.6112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石门2020003#区块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石门镇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3.8281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3.8281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贺村2020004#区块（-1至9、-11#）</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2.9882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2.9882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35</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上余2020008#区块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1.1992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1.1992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贺村2020007#区块</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贺村镇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0.5439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0.5439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否</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上余2020009#区块(-1#,-2#)</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2.1766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2.1766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r>
        <w:tblPrEx>
          <w:tblCellMar>
            <w:top w:w="0" w:type="dxa"/>
            <w:left w:w="108" w:type="dxa"/>
            <w:bottom w:w="0" w:type="dxa"/>
            <w:right w:w="108" w:type="dxa"/>
          </w:tblCellMar>
        </w:tblPrEx>
        <w:trPr>
          <w:trHeight w:val="300" w:hRule="atLeast"/>
        </w:trPr>
        <w:tc>
          <w:tcPr>
            <w:tcW w:w="23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13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上余2020010#区块(-1#,-2#)</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上余镇</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江山市2020年度计划第七批次建设用地</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Arial" w:hAnsi="Arial" w:eastAsia="宋体" w:cs="Arial"/>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3.4386 </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宋体" w:hAnsi="宋体" w:eastAsia="宋体" w:cs="宋体"/>
                <w:i w:val="0"/>
                <w:iCs w:val="0"/>
                <w:color w:val="000000"/>
                <w:sz w:val="24"/>
                <w:szCs w:val="24"/>
                <w:u w:val="none"/>
              </w:rPr>
            </w:pPr>
            <w:r>
              <w:rPr>
                <w:rFonts w:hint="default" w:ascii="Arial" w:hAnsi="Arial" w:eastAsia="宋体" w:cs="Arial"/>
                <w:i w:val="0"/>
                <w:iCs w:val="0"/>
                <w:color w:val="000000"/>
                <w:kern w:val="0"/>
                <w:sz w:val="24"/>
                <w:szCs w:val="24"/>
                <w:u w:val="none"/>
                <w:lang w:val="en-US" w:eastAsia="zh-CN" w:bidi="ar"/>
              </w:rPr>
              <w:t xml:space="preserve">3.4386 </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是</w:t>
            </w:r>
          </w:p>
        </w:tc>
        <w:tc>
          <w:tcPr>
            <w:tcW w:w="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宋体" w:hAnsi="宋体" w:eastAsia="宋体" w:cs="宋体"/>
                <w:i w:val="0"/>
                <w:iCs w:val="0"/>
                <w:color w:val="000000"/>
                <w:sz w:val="24"/>
                <w:szCs w:val="24"/>
                <w:u w:val="none"/>
              </w:rPr>
            </w:pPr>
          </w:p>
        </w:tc>
      </w:tr>
    </w:tbl>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sectPr>
          <w:pgSz w:w="16840" w:h="11910" w:orient="landscape"/>
          <w:pgMar w:top="1800" w:right="1440" w:bottom="1800" w:left="1440" w:header="0" w:footer="1158" w:gutter="0"/>
          <w:cols w:space="720" w:num="1"/>
        </w:sectPr>
      </w:pPr>
    </w:p>
    <w:p>
      <w:pPr>
        <w:pStyle w:val="3"/>
        <w:bidi w:val="0"/>
        <w:outlineLvl w:val="0"/>
        <w:rPr>
          <w:rFonts w:hint="default"/>
          <w:lang w:val="en-US" w:eastAsia="zh-CN"/>
        </w:rPr>
      </w:pPr>
      <w:bookmarkStart w:id="12" w:name="_Toc9119"/>
      <w:r>
        <w:rPr>
          <w:rFonts w:hint="eastAsia"/>
          <w:lang w:val="en-US" w:eastAsia="zh-CN"/>
        </w:rPr>
        <w:t>六、</w:t>
      </w:r>
      <w:r>
        <w:rPr>
          <w:rFonts w:hint="default"/>
          <w:lang w:val="en-US" w:eastAsia="zh-CN"/>
        </w:rPr>
        <w:t>附图</w:t>
      </w:r>
      <w:bookmarkEnd w:id="12"/>
    </w:p>
    <w:p>
      <w:pPr>
        <w:bidi w:val="0"/>
        <w:jc w:val="center"/>
        <w:rPr>
          <w:rFonts w:hint="default"/>
          <w:lang w:val="en-US" w:eastAsia="zh-CN"/>
        </w:rPr>
      </w:pPr>
      <w:r>
        <w:rPr>
          <w:rFonts w:hint="default"/>
          <w:lang w:val="en-US" w:eastAsia="zh-CN"/>
        </w:rPr>
        <w:t>拟申请土地征收成片开发范围示意图</w:t>
      </w:r>
    </w:p>
    <w:p>
      <w:pPr>
        <w:ind w:left="0" w:leftChars="0" w:firstLine="0" w:firstLineChars="0"/>
        <w:jc w:val="center"/>
        <w:rPr>
          <w:rFonts w:hint="default" w:ascii="Times New Roman" w:hAnsi="Times New Roman" w:cs="Times New Roman"/>
          <w:spacing w:val="-6"/>
          <w:sz w:val="32"/>
          <w:lang w:val="en-US" w:eastAsia="zh-CN"/>
        </w:rPr>
      </w:pPr>
      <w:r>
        <w:rPr>
          <w:rFonts w:hint="default" w:ascii="Times New Roman" w:hAnsi="Times New Roman" w:cs="Times New Roman"/>
          <w:spacing w:val="-6"/>
          <w:sz w:val="32"/>
          <w:lang w:val="en-US" w:eastAsia="zh-CN"/>
        </w:rPr>
        <w:drawing>
          <wp:inline distT="0" distB="0" distL="114300" distR="114300">
            <wp:extent cx="5447665" cy="7705725"/>
            <wp:effectExtent l="0" t="0" r="635" b="9525"/>
            <wp:docPr id="4" name="图片 4" descr="E:\2021年项目\5江山成片开发\成果\3附图\总.jpg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1年项目\5江山成片开发\成果\3附图\总.jpg总"/>
                    <pic:cNvPicPr>
                      <a:picLocks noChangeAspect="1"/>
                    </pic:cNvPicPr>
                  </pic:nvPicPr>
                  <pic:blipFill>
                    <a:blip r:embed="rId6"/>
                    <a:srcRect/>
                    <a:stretch>
                      <a:fillRect/>
                    </a:stretch>
                  </pic:blipFill>
                  <pic:spPr>
                    <a:xfrm>
                      <a:off x="0" y="0"/>
                      <a:ext cx="5447665" cy="77057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0EF84C2-7493-45F3-81A7-DE61164F5EB4}"/>
  </w:font>
  <w:font w:name="Arial">
    <w:panose1 w:val="020B0604020202020204"/>
    <w:charset w:val="01"/>
    <w:family w:val="swiss"/>
    <w:pitch w:val="default"/>
    <w:sig w:usb0="E0002EFF" w:usb1="C000785B" w:usb2="00000009" w:usb3="00000000" w:csb0="400001FF" w:csb1="FFFF0000"/>
    <w:embedRegular r:id="rId2" w:fontKey="{9F5D7815-5C9B-48F8-87A0-BC7A92E1296E}"/>
  </w:font>
  <w:font w:name="黑体">
    <w:panose1 w:val="02010609060101010101"/>
    <w:charset w:val="86"/>
    <w:family w:val="auto"/>
    <w:pitch w:val="default"/>
    <w:sig w:usb0="800002BF" w:usb1="38CF7CFA" w:usb2="00000016" w:usb3="00000000" w:csb0="00040001" w:csb1="00000000"/>
    <w:embedRegular r:id="rId3" w:fontKey="{0A5214D8-150D-42CF-ADAA-1A889884E861}"/>
  </w:font>
  <w:font w:name="Courier New">
    <w:panose1 w:val="02070309020205020404"/>
    <w:charset w:val="01"/>
    <w:family w:val="modern"/>
    <w:pitch w:val="default"/>
    <w:sig w:usb0="E0002EFF" w:usb1="C0007843" w:usb2="00000009" w:usb3="00000000" w:csb0="400001FF" w:csb1="FFFF0000"/>
    <w:embedRegular r:id="rId4" w:fontKey="{B5AAF4E1-80A9-4706-A642-5181C076A35F}"/>
  </w:font>
  <w:font w:name="Symbol">
    <w:panose1 w:val="05050102010706020507"/>
    <w:charset w:val="02"/>
    <w:family w:val="roman"/>
    <w:pitch w:val="default"/>
    <w:sig w:usb0="00000000" w:usb1="00000000" w:usb2="00000000" w:usb3="00000000" w:csb0="80000000" w:csb1="00000000"/>
    <w:embedRegular r:id="rId5" w:fontKey="{0BBA2442-B34F-48EA-873F-B66E805EBAC7}"/>
  </w:font>
  <w:font w:name="Calibri">
    <w:panose1 w:val="020F0502020204030204"/>
    <w:charset w:val="00"/>
    <w:family w:val="swiss"/>
    <w:pitch w:val="default"/>
    <w:sig w:usb0="E4002EFF" w:usb1="C000247B" w:usb2="00000009" w:usb3="00000000" w:csb0="200001FF" w:csb1="00000000"/>
    <w:embedRegular r:id="rId6" w:fontKey="{BFC9D7C7-2595-4EB1-A85F-5FFA841487C3}"/>
  </w:font>
  <w:font w:name="仿宋_GB2312">
    <w:panose1 w:val="02010609030101010101"/>
    <w:charset w:val="86"/>
    <w:family w:val="modern"/>
    <w:pitch w:val="default"/>
    <w:sig w:usb0="00000001" w:usb1="080E0000" w:usb2="00000000" w:usb3="00000000" w:csb0="00040000" w:csb1="00000000"/>
    <w:embedRegular r:id="rId7" w:fontKey="{9D805E5D-3FB4-46AF-9B69-549596D5D64D}"/>
  </w:font>
  <w:font w:name="仿宋">
    <w:panose1 w:val="02010609060101010101"/>
    <w:charset w:val="86"/>
    <w:family w:val="auto"/>
    <w:pitch w:val="default"/>
    <w:sig w:usb0="800002BF" w:usb1="38CF7CFA" w:usb2="00000016" w:usb3="00000000" w:csb0="00040001" w:csb1="00000000"/>
    <w:embedRegular r:id="rId8" w:fontKey="{0FA6C9C1-A880-4F8F-BFA4-46719CB9AFFD}"/>
  </w:font>
  <w:font w:name="楷体">
    <w:panose1 w:val="02010609060101010101"/>
    <w:charset w:val="86"/>
    <w:family w:val="auto"/>
    <w:pitch w:val="default"/>
    <w:sig w:usb0="800002BF" w:usb1="38CF7CFA" w:usb2="00000016" w:usb3="00000000" w:csb0="00040001" w:csb1="00000000"/>
    <w:embedRegular r:id="rId9" w:fontKey="{A96D17B9-7CBF-457E-BA97-BB054F94CDA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3813F9"/>
    <w:multiLevelType w:val="singleLevel"/>
    <w:tmpl w:val="DA3813F9"/>
    <w:lvl w:ilvl="0" w:tentative="0">
      <w:start w:val="1"/>
      <w:numFmt w:val="decimal"/>
      <w:suff w:val="nothing"/>
      <w:lvlText w:val="（%1）"/>
      <w:lvlJc w:val="left"/>
    </w:lvl>
  </w:abstractNum>
  <w:abstractNum w:abstractNumId="1">
    <w:nsid w:val="DD5BCF16"/>
    <w:multiLevelType w:val="singleLevel"/>
    <w:tmpl w:val="DD5BCF16"/>
    <w:lvl w:ilvl="0" w:tentative="0">
      <w:start w:val="2"/>
      <w:numFmt w:val="chineseCounting"/>
      <w:suff w:val="nothing"/>
      <w:lvlText w:val="（%1）"/>
      <w:lvlJc w:val="left"/>
      <w:pPr>
        <w:ind w:left="-280"/>
      </w:pPr>
      <w:rPr>
        <w:rFonts w:hint="eastAsia"/>
      </w:rPr>
    </w:lvl>
  </w:abstractNum>
  <w:abstractNum w:abstractNumId="2">
    <w:nsid w:val="016EC663"/>
    <w:multiLevelType w:val="singleLevel"/>
    <w:tmpl w:val="016EC663"/>
    <w:lvl w:ilvl="0" w:tentative="0">
      <w:start w:val="1"/>
      <w:numFmt w:val="decimal"/>
      <w:suff w:val="nothing"/>
      <w:lvlText w:val="%1、"/>
      <w:lvlJc w:val="left"/>
      <w:pPr>
        <w:ind w:left="-280"/>
      </w:pPr>
    </w:lvl>
  </w:abstractNum>
  <w:abstractNum w:abstractNumId="3">
    <w:nsid w:val="353234FE"/>
    <w:multiLevelType w:val="singleLevel"/>
    <w:tmpl w:val="353234FE"/>
    <w:lvl w:ilvl="0" w:tentative="0">
      <w:start w:val="1"/>
      <w:numFmt w:val="decimal"/>
      <w:suff w:val="nothing"/>
      <w:lvlText w:val="（%1）"/>
      <w:lvlJc w:val="left"/>
    </w:lvl>
  </w:abstractNum>
  <w:abstractNum w:abstractNumId="4">
    <w:nsid w:val="44191E13"/>
    <w:multiLevelType w:val="singleLevel"/>
    <w:tmpl w:val="44191E13"/>
    <w:lvl w:ilvl="0" w:tentative="0">
      <w:start w:val="2"/>
      <w:numFmt w:val="decimal"/>
      <w:suff w:val="nothing"/>
      <w:lvlText w:val="（%1）"/>
      <w:lvlJc w:val="left"/>
    </w:lvl>
  </w:abstractNum>
  <w:abstractNum w:abstractNumId="5">
    <w:nsid w:val="74AB1D51"/>
    <w:multiLevelType w:val="singleLevel"/>
    <w:tmpl w:val="74AB1D51"/>
    <w:lvl w:ilvl="0" w:tentative="0">
      <w:start w:val="3"/>
      <w:numFmt w:val="chineseCounting"/>
      <w:suff w:val="nothing"/>
      <w:lvlText w:val="%1、"/>
      <w:lvlJc w:val="left"/>
      <w:rPr>
        <w:rFonts w:hint="eastAsia"/>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B33A9A"/>
    <w:rsid w:val="07AA43EA"/>
    <w:rsid w:val="0A9E19B9"/>
    <w:rsid w:val="10BE7AB7"/>
    <w:rsid w:val="16BA3F26"/>
    <w:rsid w:val="19D34B30"/>
    <w:rsid w:val="1BBC4EC6"/>
    <w:rsid w:val="20A13829"/>
    <w:rsid w:val="2123742F"/>
    <w:rsid w:val="21787FB4"/>
    <w:rsid w:val="25AD05EA"/>
    <w:rsid w:val="28AB3A44"/>
    <w:rsid w:val="28BB3813"/>
    <w:rsid w:val="28D074B3"/>
    <w:rsid w:val="2B194251"/>
    <w:rsid w:val="341C7FEC"/>
    <w:rsid w:val="36940C36"/>
    <w:rsid w:val="39532F8D"/>
    <w:rsid w:val="3B762652"/>
    <w:rsid w:val="3C540B14"/>
    <w:rsid w:val="49B77740"/>
    <w:rsid w:val="4C840ED3"/>
    <w:rsid w:val="4CA421A0"/>
    <w:rsid w:val="4D177711"/>
    <w:rsid w:val="4ECE1001"/>
    <w:rsid w:val="5A644437"/>
    <w:rsid w:val="5CAC6AF1"/>
    <w:rsid w:val="5CBC5053"/>
    <w:rsid w:val="61554251"/>
    <w:rsid w:val="61771B5E"/>
    <w:rsid w:val="634D21B2"/>
    <w:rsid w:val="649D145F"/>
    <w:rsid w:val="697536E0"/>
    <w:rsid w:val="6B724886"/>
    <w:rsid w:val="6DE56B3B"/>
    <w:rsid w:val="73827847"/>
    <w:rsid w:val="792E1869"/>
    <w:rsid w:val="7A2F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0" w:firstLineChars="200"/>
      <w:jc w:val="both"/>
    </w:pPr>
    <w:rPr>
      <w:rFonts w:eastAsia="仿宋_GB2312" w:asciiTheme="minorAscii" w:hAnsiTheme="minorAscii" w:cstheme="minorBidi"/>
      <w:kern w:val="2"/>
      <w:sz w:val="30"/>
      <w:szCs w:val="22"/>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600" w:firstLineChars="200"/>
      <w:jc w:val="center"/>
      <w:outlineLvl w:val="0"/>
    </w:pPr>
    <w:rPr>
      <w:rFonts w:eastAsia="黑体"/>
      <w:kern w:val="44"/>
      <w:sz w:val="48"/>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Lines="0" w:beforeAutospacing="0" w:afterLines="0" w:afterAutospacing="0" w:line="360" w:lineRule="auto"/>
      <w:jc w:val="left"/>
      <w:outlineLvl w:val="2"/>
    </w:pPr>
    <w:rPr>
      <w:rFonts w:eastAsia="仿宋"/>
      <w:b/>
      <w:sz w:val="32"/>
    </w:rPr>
  </w:style>
  <w:style w:type="paragraph" w:styleId="5">
    <w:name w:val="heading 4"/>
    <w:basedOn w:val="1"/>
    <w:next w:val="1"/>
    <w:unhideWhenUsed/>
    <w:qFormat/>
    <w:uiPriority w:val="0"/>
    <w:pPr>
      <w:keepNext/>
      <w:keepLines/>
      <w:spacing w:beforeLines="0" w:beforeAutospacing="0" w:afterLines="0" w:afterAutospacing="0" w:line="360" w:lineRule="auto"/>
      <w:jc w:val="left"/>
      <w:outlineLvl w:val="3"/>
    </w:pPr>
    <w:rPr>
      <w:rFonts w:ascii="Arial" w:hAnsi="Arial"/>
    </w:rPr>
  </w:style>
  <w:style w:type="paragraph" w:styleId="6">
    <w:name w:val="heading 5"/>
    <w:basedOn w:val="1"/>
    <w:next w:val="1"/>
    <w:unhideWhenUsed/>
    <w:qFormat/>
    <w:uiPriority w:val="0"/>
    <w:pPr>
      <w:keepNext/>
      <w:keepLines/>
      <w:spacing w:beforeLines="0" w:beforeAutospacing="0" w:afterLines="0" w:afterAutospacing="0" w:line="360" w:lineRule="auto"/>
      <w:ind w:firstLine="600" w:firstLineChars="200"/>
      <w:jc w:val="left"/>
      <w:outlineLvl w:val="4"/>
    </w:p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仿宋_GB2312" w:hAnsi="仿宋_GB2312" w:eastAsia="仿宋_GB2312" w:cs="仿宋_GB2312"/>
      <w:sz w:val="32"/>
      <w:szCs w:val="32"/>
      <w:lang w:val="zh-CN" w:eastAsia="zh-CN" w:bidi="zh-CN"/>
    </w:rPr>
  </w:style>
  <w:style w:type="paragraph" w:styleId="8">
    <w:name w:val="toc 3"/>
    <w:basedOn w:val="1"/>
    <w:next w:val="1"/>
    <w:qFormat/>
    <w:uiPriority w:val="0"/>
    <w:pPr>
      <w:ind w:left="840" w:leftChars="400"/>
    </w:pPr>
  </w:style>
  <w:style w:type="paragraph" w:styleId="9">
    <w:name w:val="toc 1"/>
    <w:basedOn w:val="1"/>
    <w:next w:val="1"/>
    <w:qFormat/>
    <w:uiPriority w:val="0"/>
    <w:pPr>
      <w:ind w:firstLine="0" w:firstLineChars="0"/>
    </w:pPr>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paragraph" w:customStyle="1" w:styleId="17">
    <w:name w:val="Table Paragraph"/>
    <w:basedOn w:val="1"/>
    <w:qFormat/>
    <w:uiPriority w:val="1"/>
    <w:rPr>
      <w:rFonts w:ascii="宋体" w:hAnsi="宋体" w:eastAsia="宋体" w:cs="宋体"/>
      <w:lang w:val="zh-CN" w:eastAsia="zh-CN" w:bidi="zh-CN"/>
    </w:rPr>
  </w:style>
  <w:style w:type="paragraph" w:styleId="18">
    <w:name w:val="List Paragraph"/>
    <w:basedOn w:val="1"/>
    <w:qFormat/>
    <w:uiPriority w:val="1"/>
    <w:pPr>
      <w:spacing w:before="82"/>
      <w:ind w:left="482" w:firstLine="640"/>
    </w:pPr>
    <w:rPr>
      <w:rFonts w:ascii="仿宋_GB2312" w:hAnsi="仿宋_GB2312" w:eastAsia="仿宋_GB2312" w:cs="仿宋_GB2312"/>
      <w:lang w:val="zh-CN" w:eastAsia="zh-CN" w:bidi="zh-CN"/>
    </w:rPr>
  </w:style>
  <w:style w:type="character" w:customStyle="1" w:styleId="19">
    <w:name w:val="font21"/>
    <w:basedOn w:val="14"/>
    <w:qFormat/>
    <w:uiPriority w:val="0"/>
    <w:rPr>
      <w:rFonts w:hint="default" w:ascii="Times New Roman" w:hAnsi="Times New Roman" w:cs="Times New Roman"/>
      <w:b/>
      <w:bCs/>
      <w:color w:val="000000"/>
      <w:sz w:val="20"/>
      <w:szCs w:val="20"/>
      <w:u w:val="none"/>
    </w:rPr>
  </w:style>
  <w:style w:type="character" w:customStyle="1" w:styleId="20">
    <w:name w:val="font11"/>
    <w:basedOn w:val="14"/>
    <w:qFormat/>
    <w:uiPriority w:val="0"/>
    <w:rPr>
      <w:rFonts w:hint="eastAsia" w:ascii="宋体" w:hAnsi="宋体" w:eastAsia="宋体" w:cs="宋体"/>
      <w:b/>
      <w:bCs/>
      <w:color w:val="000000"/>
      <w:sz w:val="20"/>
      <w:szCs w:val="20"/>
      <w:u w:val="none"/>
    </w:rPr>
  </w:style>
  <w:style w:type="character" w:customStyle="1" w:styleId="21">
    <w:name w:val="font51"/>
    <w:basedOn w:val="14"/>
    <w:qFormat/>
    <w:uiPriority w:val="0"/>
    <w:rPr>
      <w:rFonts w:hint="default" w:ascii="Times New Roman" w:hAnsi="Times New Roman" w:cs="Times New Roman"/>
      <w:color w:val="000000"/>
      <w:sz w:val="20"/>
      <w:szCs w:val="20"/>
      <w:u w:val="non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黑体" w:cs="Times New Roman"/>
      <w:sz w:val="32"/>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66</Pages>
  <Words>17522</Words>
  <Characters>21864</Characters>
  <Lines>0</Lines>
  <Paragraphs>0</Paragraphs>
  <TotalTime>2</TotalTime>
  <ScaleCrop>false</ScaleCrop>
  <LinksUpToDate>false</LinksUpToDate>
  <CharactersWithSpaces>22792</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2019-10-10T00:33:00Z</dcterms:created>
  <dc:creator>Administrator</dc:creator>
  <cp:lastModifiedBy>Wanghm</cp:lastModifiedBy>
  <dcterms:modified xsi:type="dcterms:W3CDTF">2024-01-29T01:24:47Z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3E9F3C2004D347289CEC383064DBA83E</vt:lpwstr>
  </property>
  <property fmtid="{D5CDD505-2E9C-101B-9397-08002B2CF9AE}" pid="4" name="KSOSaveFontToCloudKey">
    <vt:lpwstr>0_embed</vt:lpwstr>
  </property>
</Properties>
</file>