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1" w:firstLineChars="200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江山—江干科创飞地管理办法（试行）</w:t>
      </w:r>
    </w:p>
    <w:bookmarkEnd w:id="0"/>
    <w:p>
      <w:pPr>
        <w:jc w:val="center"/>
        <w:rPr>
          <w:rFonts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（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征求意见</w:t>
      </w:r>
      <w:r>
        <w:rPr>
          <w:rFonts w:hint="eastAsia" w:ascii="华文楷体" w:hAnsi="华文楷体" w:eastAsia="华文楷体" w:cs="华文楷体"/>
          <w:sz w:val="36"/>
          <w:szCs w:val="36"/>
        </w:rPr>
        <w:t>稿）</w:t>
      </w:r>
    </w:p>
    <w:p>
      <w:pPr>
        <w:pStyle w:val="4"/>
        <w:widowControl/>
        <w:spacing w:before="76" w:beforeAutospacing="0" w:after="76" w:afterAutospacing="0"/>
        <w:jc w:val="center"/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pacing w:before="76" w:beforeAutospacing="0" w:after="76" w:afterAutospacing="0"/>
        <w:jc w:val="center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第一章  总则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第一条  为贯彻落实省委、省政府关于打造山海协作工程升级版的指示精神，促进江山市产业转型升级、创业创新人才集聚和江干区优质企业外迁扩张、科技成果转化、产研合作发展，根据《江干区—江山市关于深化全面合作打造山海协作升级版协议》，结合两地实际，制定本办法。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第二条  江山—江干科创飞地（以下简称江干飞地）指江山市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和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江干区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两地政府在江干区合作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设立的科技创新平台，采用政府引导支持、企业主体运作的市场化运营模式，由两地政府委托专业运营商通过场地租用、合作办园等方式建立，为两地企业合作交流，为江山加强双招双引、提升创新水平构建的有效平台。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第三条  为加强对江干飞地的管理，经竞争性磋商，由浙江智新泽地科技有限公司（以下简称智新泽地公司）作为运营公司，对江干飞地进行日常运营管理，提供双创服务，委托运营期限至2023年1月16日止。</w:t>
      </w:r>
    </w:p>
    <w:p>
      <w:pPr>
        <w:pStyle w:val="4"/>
        <w:widowControl/>
        <w:spacing w:before="76" w:beforeAutospacing="0" w:after="76" w:afterAutospacing="0"/>
        <w:jc w:val="center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第二章  工作机构及职能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 xml:space="preserve">第四条  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关于领导小组，按照江山—江干科创飞地建设有关问题协调会备忘录执行。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智新泽地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公司要及时组建江干飞地运营团队，明确各自职责，责任到人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。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领导小组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负责审议科创飞地的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入驻管理办法、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年度工作计划、资金使用、考核评定、政策制定等重要事项。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领导小组江山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办公室负责江山企业入驻初审、运营团队监理考核等有关工作；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领导小组江干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办公室负责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入驻飞地企业相关惠企政策兑现；智新泽地公司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负责江干飞地的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项目人才招引、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日常管理、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物业费收取、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双创服务、孵化项目入驻初审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、签订入驻协议、考核评价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等有关工作，为入驻机构提供注册登记、税务咨询、科技政策、技术及人才引进、科技合作交流、投融资联系等创新服务，协助对接科创飞地所在地的其他相关政策。</w:t>
      </w:r>
    </w:p>
    <w:p>
      <w:pPr>
        <w:pStyle w:val="4"/>
        <w:widowControl/>
        <w:spacing w:before="76" w:beforeAutospacing="0" w:after="76" w:afterAutospacing="0"/>
        <w:ind w:firstLine="2520" w:firstLineChars="700"/>
        <w:jc w:val="both"/>
        <w:rPr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第三章 入驻管理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第五条  入驻条件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default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（一）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新税源培植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项目。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主要招引销售总部、网红经济、远程物联网企业等新经济业态项目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，按照入驻项目场地使用面积，每平方米每年税收达到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  <w:t>1000元以上，其中江山企业入驻使用面积视同达到税收标准。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（二）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高科技孵化项目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。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主要招引孵化医疗器械为主导的生命健康、智能装备制造、人工智能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及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消防应急产业和新材料、高技术服务业等高新技术产业等领域高科技项目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且研发费用占主营业务收入比重不低于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  <w:t>4%，或年度研发经费投入不低于80万元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。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（三）江山市企业申请设立研发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  <w:t>机构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。申请入驻要求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  <w:t>注册地在江山的初创型、高科技型、数字经济类、轻资产型的研发型企业或团队申请在飞地设立研发机构。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第六条  入驻程序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（一）招商。通过运营商自主招引、两地政府有关部门推荐，储备一批符合入驻条件的企业；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（二）评审。拟入驻企业提供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入驻申请表、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商业计划书等有关资料，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根据申请类别进行相关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评审，确定是否入驻；</w:t>
      </w:r>
    </w:p>
    <w:p>
      <w:pPr>
        <w:numPr>
          <w:ilvl w:val="0"/>
          <w:numId w:val="0"/>
        </w:numPr>
        <w:spacing w:line="600" w:lineRule="exact"/>
        <w:ind w:firstLine="720" w:firstLineChars="200"/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新税源培植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项目、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高科技孵化项目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申请入驻飞地开放式工位的，由运营团队根据江山产业发展定位引进相关孵化企业，受理申请并审查，定期将企业更新名单报领导小组办公室备案，同时抄报领导小组组长。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  <w:lang w:eastAsia="zh-CN"/>
        </w:rPr>
        <w:t>独立空间入驻需领导小组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  <w:lang w:val="en-US" w:eastAsia="zh-CN"/>
        </w:rPr>
        <w:t>或受领导小组委托由领导小组办公室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  <w:lang w:eastAsia="zh-CN"/>
        </w:rPr>
        <w:t>审核通过。</w:t>
      </w:r>
    </w:p>
    <w:p>
      <w:pPr>
        <w:numPr>
          <w:ilvl w:val="0"/>
          <w:numId w:val="0"/>
        </w:numPr>
        <w:spacing w:line="600" w:lineRule="exact"/>
        <w:ind w:firstLine="720" w:firstLineChars="200"/>
        <w:rPr>
          <w:rFonts w:hint="default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江山市企业申请设立研发中心由江山市科技局初审、党组商议后报领导小组审核通过。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（三）入驻。运营商与企业签订入驻协议；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 xml:space="preserve">（四）备案。运营商把入驻企业基本情况、评审材料等报科创飞地建设工作领导小组办公室备案； 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（五）评价。建立对入驻机构绩效评价制度，由运营商负责对入驻企业进行考核，实行“一年一考核”，分优秀、良好、合格、不合格四个档次，入驻企业综合评价结果作为企业继续入驻或清退的依据。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</w:rPr>
        <w:t> 入驻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  <w:lang w:val="en-US" w:eastAsia="zh-CN"/>
        </w:rPr>
        <w:t>机构绩效评价办法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</w:rPr>
        <w:t>由领导小组办公室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  <w:lang w:val="en-US" w:eastAsia="zh-CN"/>
        </w:rPr>
        <w:t>与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</w:rPr>
        <w:t>运营公司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  <w:lang w:val="en-US" w:eastAsia="zh-CN"/>
        </w:rPr>
        <w:t>另行制定。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</w:rPr>
        <w:t xml:space="preserve">  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第七条  入驻期限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zh-CN"/>
        </w:rPr>
        <w:t>（一）入驻企业从签订协议之日起开始计算，孵化期原则上不超过二年，入驻孵化最迟时间截至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  <w:t>2023年1月16日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zh-CN"/>
        </w:rPr>
        <w:t>。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zh-CN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zh-CN"/>
        </w:rPr>
        <w:t>（二）入驻企业未满二年，有条件扩大产业化生产的企业，可以申请提前出孵。</w:t>
      </w:r>
    </w:p>
    <w:p>
      <w:pPr>
        <w:pStyle w:val="4"/>
        <w:widowControl/>
        <w:spacing w:before="76" w:beforeAutospacing="0" w:after="76" w:afterAutospacing="0"/>
        <w:ind w:firstLine="2520" w:firstLineChars="700"/>
        <w:jc w:val="both"/>
        <w:rPr>
          <w:rFonts w:ascii="华文仿宋" w:hAnsi="华文仿宋" w:eastAsia="华文仿宋" w:cs="华文仿宋"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第四章 优化服务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 xml:space="preserve">第八条  </w:t>
      </w:r>
      <w:r>
        <w:rPr>
          <w:rFonts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</w:rPr>
        <w:t>对入驻企业在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</w:rPr>
        <w:t>江山</w:t>
      </w:r>
      <w:r>
        <w:rPr>
          <w:rFonts w:ascii="华文仿宋" w:hAnsi="华文仿宋" w:eastAsia="华文仿宋" w:cs="华文仿宋"/>
          <w:color w:val="333333"/>
          <w:sz w:val="36"/>
          <w:szCs w:val="36"/>
          <w:u w:val="single"/>
          <w:shd w:val="clear" w:color="auto" w:fill="FFFFFF"/>
        </w:rPr>
        <w:t>落地的产业化项目，同等条件下，优先满足其用地需求。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第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十</w:t>
      </w:r>
      <w:r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条  科创飞地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由运营商协同两地政府部门和专业服务机构，</w:t>
      </w:r>
      <w:r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为入驻企业提供以下服务：</w:t>
      </w:r>
    </w:p>
    <w:p>
      <w:pPr>
        <w:pStyle w:val="4"/>
        <w:widowControl/>
        <w:numPr>
          <w:ilvl w:val="0"/>
          <w:numId w:val="1"/>
        </w:numPr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搭建高端人才信息平台，提供人力资源信息服务；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（二）建立柔性引才模式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，健全在杭江山商会、两地企业家交流机制</w:t>
      </w:r>
      <w:r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（三）协助开展高校、科研院所与企业的人才、技术交流合作；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（四）提供工商注册、法务、财务、人力资源、研发人员社保等公共服务；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（五）协助对接飞地科创平台所在地的其他相关政策。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六</w:t>
      </w:r>
      <w:r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）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其他服务项目。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第十一条 退出机制。入驻机构期满不再续驻的或因故提前终止入驻协议的，应提前30天向运营机构提出终止申请。出现下列情况之一的，由运营机构及时解除协议并要求其限期退出，同时向科创飞地领导小组办公室报备：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（一）绩效考核不合格的；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（二）违反国家有关法律法规和政策规定；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（三）从事与飞地功能定位无关的生产、经营、服务活动的，不符合安全生产有关规定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没有按时整改到位的；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（四）经营场所连续15天处于空置或关闭状态，或私自将经营场所转租（让）、挪作他用的；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（五）拖欠相关费用累计达30天以上的；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（六）入驻机构所在企业被依法宣告破产的，或被法院列入失信人黑名单的，或被吊销营业执照、责令关闭、撤销或者自行决定提前解散的；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ascii="华文仿宋" w:hAnsi="华文仿宋" w:eastAsia="华文仿宋" w:cs="华文仿宋"/>
          <w:color w:val="333333"/>
          <w:sz w:val="36"/>
          <w:szCs w:val="36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（七）其他情节严重的情形。</w:t>
      </w:r>
    </w:p>
    <w:p>
      <w:pPr>
        <w:pStyle w:val="4"/>
        <w:widowControl/>
        <w:spacing w:before="76" w:beforeAutospacing="0" w:after="76" w:afterAutospacing="0"/>
        <w:jc w:val="both"/>
        <w:rPr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 xml:space="preserve">               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第五章 附则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第十二条 本办法自2020年10月1日起施行。</w:t>
      </w: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pacing w:before="76" w:beforeAutospacing="0" w:after="76" w:afterAutospacing="0"/>
        <w:ind w:firstLine="720" w:firstLineChars="20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</w:p>
    <w:p>
      <w:pPr>
        <w:spacing w:line="360" w:lineRule="auto"/>
        <w:ind w:right="-106" w:firstLine="720" w:firstLineChars="200"/>
        <w:jc w:val="left"/>
        <w:rPr>
          <w:rFonts w:hint="default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附件：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江山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—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  <w:t>江干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科创飞地入驻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申请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  <w:t>表</w:t>
      </w:r>
    </w:p>
    <w:p>
      <w:pPr>
        <w:spacing w:line="360" w:lineRule="auto"/>
        <w:ind w:right="-106" w:firstLine="1800" w:firstLineChars="500"/>
        <w:jc w:val="left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  <w:t>入驻项目商业计划书</w:t>
      </w:r>
    </w:p>
    <w:p>
      <w:pPr>
        <w:spacing w:line="360" w:lineRule="auto"/>
        <w:ind w:right="-106"/>
        <w:jc w:val="center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pacing w:before="76" w:beforeAutospacing="0" w:after="76" w:afterAutospacing="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 xml:space="preserve">        </w:t>
      </w:r>
    </w:p>
    <w:p>
      <w:pP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br w:type="page"/>
      </w:r>
    </w:p>
    <w:p>
      <w:pPr>
        <w:autoSpaceDN w:val="0"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spacing w:line="360" w:lineRule="auto"/>
        <w:ind w:right="-106"/>
        <w:jc w:val="center"/>
        <w:rPr>
          <w:rFonts w:hint="default" w:ascii="黑体" w:eastAsia="黑体"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eastAsia="黑体"/>
          <w:bCs/>
          <w:color w:val="auto"/>
          <w:sz w:val="30"/>
          <w:szCs w:val="30"/>
        </w:rPr>
        <w:t>江山</w:t>
      </w:r>
      <w:r>
        <w:rPr>
          <w:rFonts w:hint="eastAsia" w:ascii="黑体" w:eastAsia="黑体"/>
          <w:bCs/>
          <w:color w:val="auto"/>
          <w:sz w:val="30"/>
          <w:szCs w:val="30"/>
          <w:lang w:eastAsia="zh-CN"/>
        </w:rPr>
        <w:t>—</w:t>
      </w:r>
      <w:r>
        <w:rPr>
          <w:rFonts w:hint="eastAsia" w:ascii="黑体" w:eastAsia="黑体"/>
          <w:bCs/>
          <w:color w:val="auto"/>
          <w:sz w:val="30"/>
          <w:szCs w:val="30"/>
          <w:lang w:val="en-US" w:eastAsia="zh-CN"/>
        </w:rPr>
        <w:t>江干</w:t>
      </w:r>
      <w:r>
        <w:rPr>
          <w:rFonts w:hint="eastAsia" w:ascii="黑体" w:eastAsia="黑体"/>
          <w:bCs/>
          <w:color w:val="auto"/>
          <w:sz w:val="30"/>
          <w:szCs w:val="30"/>
        </w:rPr>
        <w:t>科创飞地入驻</w:t>
      </w:r>
      <w:r>
        <w:rPr>
          <w:rFonts w:hint="eastAsia" w:ascii="黑体" w:eastAsia="黑体"/>
          <w:bCs/>
          <w:color w:val="auto"/>
          <w:sz w:val="30"/>
          <w:szCs w:val="30"/>
          <w:lang w:eastAsia="zh-CN"/>
        </w:rPr>
        <w:t>申请</w:t>
      </w:r>
      <w:r>
        <w:rPr>
          <w:rFonts w:hint="eastAsia" w:ascii="黑体" w:eastAsia="黑体"/>
          <w:bCs/>
          <w:color w:val="auto"/>
          <w:sz w:val="30"/>
          <w:szCs w:val="30"/>
          <w:lang w:val="en-US" w:eastAsia="zh-CN"/>
        </w:rPr>
        <w:t>表</w:t>
      </w:r>
    </w:p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163"/>
        <w:gridCol w:w="688"/>
        <w:gridCol w:w="194"/>
        <w:gridCol w:w="210"/>
        <w:gridCol w:w="1155"/>
        <w:gridCol w:w="177"/>
        <w:gridCol w:w="138"/>
        <w:gridCol w:w="103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拟办企业</w:t>
            </w:r>
            <w:r>
              <w:rPr>
                <w:rFonts w:hint="eastAsia"/>
                <w:color w:val="auto"/>
                <w:sz w:val="24"/>
                <w:lang w:eastAsia="zh-CN"/>
              </w:rPr>
              <w:t>（研发中心）</w:t>
            </w:r>
            <w:r>
              <w:rPr>
                <w:rFonts w:hint="eastAsia"/>
                <w:color w:val="auto"/>
                <w:sz w:val="24"/>
              </w:rPr>
              <w:t>名称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7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2"/>
              </w:rPr>
            </w:pPr>
            <w:r>
              <w:rPr>
                <w:rFonts w:hint="eastAsia" w:ascii="宋体" w:hAnsi="宋体"/>
                <w:color w:val="auto"/>
                <w:sz w:val="24"/>
                <w:szCs w:val="22"/>
              </w:rPr>
              <w:t>申请企业类别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2"/>
              </w:rPr>
              <w:t>新税源培植</w:t>
            </w:r>
            <w:r>
              <w:rPr>
                <w:rFonts w:hint="eastAsia" w:ascii="宋体" w:hAnsi="宋体"/>
                <w:color w:val="auto"/>
                <w:sz w:val="24"/>
                <w:szCs w:val="22"/>
                <w:lang w:eastAsia="zh-CN"/>
              </w:rPr>
              <w:t>项目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2"/>
              </w:rPr>
            </w:pPr>
            <w:r>
              <w:rPr>
                <w:rFonts w:hint="eastAsia" w:ascii="宋体" w:hAnsi="宋体"/>
                <w:color w:val="auto"/>
                <w:sz w:val="24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2"/>
              </w:rPr>
              <w:t>高科技孵化项目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2"/>
              </w:rPr>
              <w:t>□江山市企业</w:t>
            </w:r>
            <w:r>
              <w:rPr>
                <w:rFonts w:hint="eastAsia" w:ascii="宋体" w:hAnsi="宋体"/>
                <w:color w:val="auto"/>
                <w:sz w:val="24"/>
                <w:szCs w:val="22"/>
                <w:lang w:eastAsia="zh-CN"/>
              </w:rPr>
              <w:t>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法定代表人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 系 人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电子信箱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投资项目名称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经营范围</w:t>
            </w:r>
          </w:p>
        </w:tc>
        <w:tc>
          <w:tcPr>
            <w:tcW w:w="7324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（只需填写与企业名称行业表述一致的主要业务项目）：</w:t>
            </w:r>
          </w:p>
          <w:p>
            <w:pPr>
              <w:ind w:right="84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申请项目领域</w:t>
            </w:r>
          </w:p>
        </w:tc>
        <w:tc>
          <w:tcPr>
            <w:tcW w:w="7324" w:type="dxa"/>
            <w:gridSpan w:val="9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</w:rPr>
              <w:t>□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生命健康产业    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数字经济</w:t>
            </w:r>
            <w:r>
              <w:rPr>
                <w:rFonts w:hint="eastAsia"/>
                <w:bCs/>
                <w:color w:val="auto"/>
                <w:sz w:val="24"/>
              </w:rPr>
              <w:t xml:space="preserve">产业     □装备制造产业  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□消防应急产业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□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 xml:space="preserve">新材料产业      </w:t>
            </w:r>
            <w:r>
              <w:rPr>
                <w:rFonts w:hint="eastAsia"/>
                <w:bCs/>
                <w:color w:val="auto"/>
                <w:sz w:val="24"/>
              </w:rPr>
              <w:t xml:space="preserve"> □</w:t>
            </w: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高新技术服务</w:t>
            </w:r>
            <w:r>
              <w:rPr>
                <w:rFonts w:hint="eastAsia"/>
                <w:bCs/>
                <w:color w:val="auto"/>
                <w:sz w:val="24"/>
              </w:rPr>
              <w:t>产业</w:t>
            </w:r>
          </w:p>
          <w:p>
            <w:pPr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□其他产业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shd w:val="pct10" w:color="auto" w:fill="FFFFFF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企业情况</w:t>
            </w:r>
          </w:p>
        </w:tc>
        <w:tc>
          <w:tcPr>
            <w:tcW w:w="7324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企业项目简介及专利情况：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写不下可附后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ind w:firstLine="3120" w:firstLineChars="1300"/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申请人签字：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计划入驻时间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第一批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企业入驻人数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申请面积</w:t>
            </w:r>
          </w:p>
          <w:p>
            <w:pPr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（或工位数）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>出资人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>证件号码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>学历</w:t>
            </w:r>
            <w:r>
              <w:rPr>
                <w:rFonts w:hint="eastAsia"/>
                <w:bCs/>
                <w:color w:val="auto"/>
                <w:sz w:val="24"/>
              </w:rPr>
              <w:t>/</w:t>
            </w:r>
          </w:p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</w:rPr>
              <w:t>职称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>专  业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>出资额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>股权比例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 xml:space="preserve">     万元 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right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 xml:space="preserve">     万元 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right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4"/>
                <w:lang w:val="ru-RU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 xml:space="preserve">     万元 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right"/>
              <w:rPr>
                <w:rFonts w:hint="eastAsia"/>
                <w:bCs/>
                <w:color w:val="auto"/>
                <w:sz w:val="24"/>
                <w:lang w:val="ru-RU"/>
              </w:rPr>
            </w:pPr>
            <w:r>
              <w:rPr>
                <w:rFonts w:hint="eastAsia"/>
                <w:bCs/>
                <w:color w:val="auto"/>
                <w:sz w:val="24"/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36" w:type="dxa"/>
            <w:vAlign w:val="center"/>
          </w:tcPr>
          <w:p>
            <w:pPr>
              <w:jc w:val="left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江山—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江干</w:t>
            </w:r>
            <w:r>
              <w:rPr>
                <w:rFonts w:hint="eastAsia"/>
                <w:bCs/>
                <w:color w:val="auto"/>
                <w:sz w:val="24"/>
              </w:rPr>
              <w:t>科创飞地领导小组办公室意见</w:t>
            </w:r>
          </w:p>
        </w:tc>
        <w:tc>
          <w:tcPr>
            <w:tcW w:w="7324" w:type="dxa"/>
            <w:gridSpan w:val="9"/>
            <w:vAlign w:val="top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836" w:type="dxa"/>
            <w:vAlign w:val="center"/>
          </w:tcPr>
          <w:p>
            <w:pPr>
              <w:jc w:val="left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江山—</w:t>
            </w:r>
            <w:r>
              <w:rPr>
                <w:rFonts w:hint="eastAsia"/>
                <w:bCs/>
                <w:color w:val="auto"/>
                <w:sz w:val="24"/>
                <w:lang w:eastAsia="zh-CN"/>
              </w:rPr>
              <w:t>江干</w:t>
            </w:r>
            <w:r>
              <w:rPr>
                <w:rFonts w:hint="eastAsia"/>
                <w:bCs/>
                <w:color w:val="auto"/>
                <w:sz w:val="24"/>
              </w:rPr>
              <w:t>科创飞地领导小组意见</w:t>
            </w:r>
          </w:p>
        </w:tc>
        <w:tc>
          <w:tcPr>
            <w:tcW w:w="7324" w:type="dxa"/>
            <w:gridSpan w:val="9"/>
            <w:vAlign w:val="top"/>
          </w:tcPr>
          <w:p>
            <w:pPr>
              <w:rPr>
                <w:rFonts w:hint="eastAsia"/>
                <w:bCs/>
                <w:color w:val="auto"/>
                <w:sz w:val="24"/>
              </w:rPr>
            </w:pPr>
          </w:p>
        </w:tc>
      </w:tr>
    </w:tbl>
    <w:p>
      <w:pPr>
        <w:rPr>
          <w:rFonts w:hint="default" w:ascii="宋体" w:hAnsi="宋体" w:eastAsia="宋体" w:cs="宋体"/>
          <w:color w:val="auto"/>
          <w:spacing w:val="8"/>
          <w:lang w:val="en-US" w:eastAsia="zh-CN"/>
        </w:rPr>
      </w:pPr>
      <w:r>
        <w:rPr>
          <w:rFonts w:hint="eastAsia" w:ascii="宋体" w:hAnsi="宋体" w:cs="宋体"/>
          <w:color w:val="auto"/>
          <w:spacing w:val="8"/>
          <w:lang w:val="en-US" w:eastAsia="zh-CN"/>
        </w:rPr>
        <w:t>备注：由于空间有限，独立办公室的面积仅有45、90、180、270四种类型。</w:t>
      </w:r>
    </w:p>
    <w:p>
      <w:pPr>
        <w:autoSpaceDN w:val="0"/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color w:val="333333"/>
          <w:sz w:val="36"/>
          <w:szCs w:val="36"/>
          <w:shd w:val="clear" w:color="auto" w:fill="FFFFFF"/>
          <w:lang w:eastAsia="zh-CN"/>
        </w:rPr>
        <w:t>入驻项目商业计划书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  <w:lang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参考提纲：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拟办企业概况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创业团队概况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项目技术可行性分析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产品市场可行性分析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经济效益及社会效益分析等</w:t>
      </w:r>
    </w:p>
    <w:p>
      <w:pPr>
        <w:autoSpaceDN w:val="0"/>
        <w:spacing w:line="60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pacing w:before="76" w:beforeAutospacing="0" w:after="76" w:afterAutospacing="0"/>
        <w:jc w:val="both"/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</w:p>
    <w:p>
      <w:pPr>
        <w:pStyle w:val="4"/>
        <w:widowControl/>
        <w:spacing w:before="76" w:beforeAutospacing="0" w:after="76" w:afterAutospacing="0"/>
        <w:jc w:val="both"/>
        <w:rPr>
          <w:rFonts w:ascii="华文仿宋" w:hAnsi="华文仿宋" w:eastAsia="华文仿宋" w:cs="华文仿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sz w:val="36"/>
          <w:szCs w:val="36"/>
          <w:shd w:val="clear" w:color="auto" w:fill="FFFFFF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56075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E8C4"/>
    <w:multiLevelType w:val="singleLevel"/>
    <w:tmpl w:val="5164E8C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ECFC8C"/>
    <w:multiLevelType w:val="singleLevel"/>
    <w:tmpl w:val="61ECFC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F69A1"/>
    <w:rsid w:val="000C3998"/>
    <w:rsid w:val="000E2A60"/>
    <w:rsid w:val="001D5B36"/>
    <w:rsid w:val="002021EB"/>
    <w:rsid w:val="002821AE"/>
    <w:rsid w:val="00285130"/>
    <w:rsid w:val="002B2FDB"/>
    <w:rsid w:val="003B285D"/>
    <w:rsid w:val="00527E85"/>
    <w:rsid w:val="005F1AE2"/>
    <w:rsid w:val="00853C7B"/>
    <w:rsid w:val="008F59D4"/>
    <w:rsid w:val="00A91E3D"/>
    <w:rsid w:val="00B629D1"/>
    <w:rsid w:val="00BA72E6"/>
    <w:rsid w:val="00CA4D03"/>
    <w:rsid w:val="00F06D55"/>
    <w:rsid w:val="00F314F7"/>
    <w:rsid w:val="00FA77BE"/>
    <w:rsid w:val="03EE155D"/>
    <w:rsid w:val="0DDC1B19"/>
    <w:rsid w:val="0E4F7DC6"/>
    <w:rsid w:val="10B4222C"/>
    <w:rsid w:val="112F4B2B"/>
    <w:rsid w:val="11DE3C06"/>
    <w:rsid w:val="12BC6B54"/>
    <w:rsid w:val="15C2711C"/>
    <w:rsid w:val="18CB45A0"/>
    <w:rsid w:val="1A0E7AB4"/>
    <w:rsid w:val="1C83795C"/>
    <w:rsid w:val="1D4E3E51"/>
    <w:rsid w:val="1E3F5207"/>
    <w:rsid w:val="240C31AD"/>
    <w:rsid w:val="240C37A9"/>
    <w:rsid w:val="25792D7F"/>
    <w:rsid w:val="26610971"/>
    <w:rsid w:val="27530EFA"/>
    <w:rsid w:val="28696C1D"/>
    <w:rsid w:val="29C665A0"/>
    <w:rsid w:val="2A8704F8"/>
    <w:rsid w:val="2DCF4B68"/>
    <w:rsid w:val="2F94721B"/>
    <w:rsid w:val="341546C3"/>
    <w:rsid w:val="37BE28CD"/>
    <w:rsid w:val="38254464"/>
    <w:rsid w:val="3ABC48B9"/>
    <w:rsid w:val="3B3E07CB"/>
    <w:rsid w:val="3BCB2B32"/>
    <w:rsid w:val="3C367D57"/>
    <w:rsid w:val="3F8E215E"/>
    <w:rsid w:val="3FCF2D8A"/>
    <w:rsid w:val="40DB3D7C"/>
    <w:rsid w:val="429255DF"/>
    <w:rsid w:val="42CA36D5"/>
    <w:rsid w:val="44B541BC"/>
    <w:rsid w:val="450B1967"/>
    <w:rsid w:val="48383B54"/>
    <w:rsid w:val="49453985"/>
    <w:rsid w:val="4ACD3FB9"/>
    <w:rsid w:val="4B34288D"/>
    <w:rsid w:val="4B8E7B12"/>
    <w:rsid w:val="4DE30574"/>
    <w:rsid w:val="518E4784"/>
    <w:rsid w:val="524C4771"/>
    <w:rsid w:val="52600BA3"/>
    <w:rsid w:val="55777344"/>
    <w:rsid w:val="5622132B"/>
    <w:rsid w:val="578D17BC"/>
    <w:rsid w:val="579255C7"/>
    <w:rsid w:val="59F40952"/>
    <w:rsid w:val="5B445E26"/>
    <w:rsid w:val="5D974582"/>
    <w:rsid w:val="5DB40A3A"/>
    <w:rsid w:val="5F7B6C8A"/>
    <w:rsid w:val="5FFF0113"/>
    <w:rsid w:val="612B265B"/>
    <w:rsid w:val="6219534C"/>
    <w:rsid w:val="627734E1"/>
    <w:rsid w:val="62B37C13"/>
    <w:rsid w:val="63176C5E"/>
    <w:rsid w:val="683832FB"/>
    <w:rsid w:val="6D7F6A21"/>
    <w:rsid w:val="6F3C2FB4"/>
    <w:rsid w:val="6F9A67D0"/>
    <w:rsid w:val="6FF45C97"/>
    <w:rsid w:val="707E1948"/>
    <w:rsid w:val="73213070"/>
    <w:rsid w:val="74325E5E"/>
    <w:rsid w:val="753431E8"/>
    <w:rsid w:val="76D971F2"/>
    <w:rsid w:val="77C44358"/>
    <w:rsid w:val="79FE1D50"/>
    <w:rsid w:val="7B122B73"/>
    <w:rsid w:val="7B4A0319"/>
    <w:rsid w:val="7C337759"/>
    <w:rsid w:val="7D192465"/>
    <w:rsid w:val="7D2F69A1"/>
    <w:rsid w:val="7F2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8025D-CDF4-4096-8D0A-53A381C16F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303</Words>
  <Characters>1730</Characters>
  <Lines>14</Lines>
  <Paragraphs>4</Paragraphs>
  <TotalTime>31</TotalTime>
  <ScaleCrop>false</ScaleCrop>
  <LinksUpToDate>false</LinksUpToDate>
  <CharactersWithSpaces>2029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2020-07-02T14:55:00Z</dcterms:created>
  <dc:creator>王学锋</dc:creator>
  <cp:lastModifiedBy>苍耳心</cp:lastModifiedBy>
  <dcterms:modified xsi:type="dcterms:W3CDTF">2021-12-13T05:05:17Z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